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6D373FB7AA614C9CD34E20AB3F05B2" ma:contentTypeVersion="0" ma:contentTypeDescription="Создание документа." ma:contentTypeScope="" ma:versionID="5711a8b0e89ee0e49bf2f4f0513dbd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DF5B1-6E4E-4E9B-BE9E-AFA0C81CBD84}"/>
</file>

<file path=customXml/itemProps2.xml><?xml version="1.0" encoding="utf-8"?>
<ds:datastoreItem xmlns:ds="http://schemas.openxmlformats.org/officeDocument/2006/customXml" ds:itemID="{441D611B-F7F6-4FBB-A494-238555D80523}"/>
</file>

<file path=customXml/itemProps3.xml><?xml version="1.0" encoding="utf-8"?>
<ds:datastoreItem xmlns:ds="http://schemas.openxmlformats.org/officeDocument/2006/customXml" ds:itemID="{08E90746-D787-4410-BDBD-D77719C26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0x0101001B6D373FB7AA614C9CD34E20AB3F05B2</vt:lpwstr>
  </property>
</Properties>
</file>