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74229CC3-42B4-47B7-A03B-FB246AF9CE52}"/>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