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F5411B61-43AC-4E20-B1E5-FE0E3864D6D1}"/>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