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невостребованных</w:t>
      </w:r>
      <w:proofErr w:type="gramEnd"/>
      <w:r w:rsidRPr="00C0430C">
        <w:rPr>
          <w:rFonts w:ascii="Times New Roman" w:hAnsi="Times New Roman"/>
          <w:b/>
          <w:sz w:val="24"/>
          <w:szCs w:val="24"/>
        </w:rPr>
        <w:t xml:space="preserve">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2828C1">
        <w:t xml:space="preserve">  </w:t>
      </w:r>
      <w:r w:rsidR="002828C1"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>
        <w:instrText xml:space="preserve"> FORMTEXT </w:instrText>
      </w:r>
      <w:r w:rsidR="002828C1">
        <w:fldChar w:fldCharType="separate"/>
      </w:r>
      <w:r w:rsidR="002828C1">
        <w:rPr>
          <w:noProof/>
        </w:rPr>
        <w:t>________</w:t>
      </w:r>
      <w:r w:rsidR="002828C1">
        <w:fldChar w:fldCharType="end"/>
      </w:r>
      <w:r w:rsidR="001436CA">
        <w:t xml:space="preserve"> </w:t>
      </w:r>
      <w:r w:rsidRPr="00C0430C">
        <w:t>20</w:t>
      </w:r>
      <w:r w:rsidR="00274B7B">
        <w:t xml:space="preserve">19 </w:t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2828C1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proofErr w:type="gramStart"/>
      <w:r w:rsidRPr="00220A60">
        <w:rPr>
          <w:i/>
          <w:noProof/>
        </w:rPr>
        <w:t>Акционерное общество «Ангарский завод катализаторов и органического синтеза»(АО «АЗКиОС»)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="00D55A1B">
        <w:rPr>
          <w:i/>
        </w:rPr>
        <w:t>г</w:t>
      </w:r>
      <w:r>
        <w:rPr>
          <w:i/>
        </w:rPr>
        <w:t xml:space="preserve">енерального директора </w:t>
      </w:r>
      <w:r w:rsidR="00D55A1B">
        <w:rPr>
          <w:i/>
        </w:rPr>
        <w:t>Томина Виктора Петровича</w:t>
      </w:r>
      <w:r w:rsidR="00C0430C" w:rsidRPr="00C0430C">
        <w:t>, действующего на основании</w:t>
      </w:r>
      <w:r w:rsidR="001A2773">
        <w:t xml:space="preserve"> </w:t>
      </w:r>
      <w:r w:rsidR="00D55A1B">
        <w:rPr>
          <w:noProof/>
        </w:rPr>
        <w:t>Устава</w:t>
      </w:r>
      <w:r w:rsidR="001436CA">
        <w:t xml:space="preserve"> </w:t>
      </w:r>
      <w:r w:rsidR="00C0430C" w:rsidRPr="00C0430C">
        <w:t>с одной стороны,</w:t>
      </w:r>
      <w:r w:rsidR="00C0430C" w:rsidRPr="00C0430C">
        <w:rPr>
          <w:rStyle w:val="a4"/>
        </w:rPr>
        <w:t xml:space="preserve"> и </w:t>
      </w:r>
      <w:r w:rsidR="00D55A1B">
        <w:rPr>
          <w:i/>
          <w:noProof/>
        </w:rPr>
        <w:t xml:space="preserve">___________ </w:t>
      </w:r>
      <w:r w:rsidR="00D55A1B">
        <w:rPr>
          <w:i/>
          <w:noProof/>
        </w:rPr>
        <w:t>(указывается организационно-правовая форма и наименование юридического лица)</w:t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, </w:t>
      </w:r>
      <w:r w:rsidR="00D55A1B">
        <w:rPr>
          <w:rStyle w:val="a4"/>
        </w:rPr>
        <w:t xml:space="preserve">в лице __________ </w:t>
      </w:r>
      <w:r w:rsidR="00D55A1B">
        <w:rPr>
          <w:i/>
          <w:noProof/>
        </w:rPr>
        <w:t>(должность и ФИО)</w:t>
      </w:r>
      <w:r w:rsidR="00D55A1B">
        <w:rPr>
          <w:i/>
          <w:noProof/>
        </w:rPr>
        <w:t xml:space="preserve">, </w:t>
      </w:r>
      <w:r w:rsidR="00C0430C" w:rsidRPr="00C0430C">
        <w:rPr>
          <w:rStyle w:val="a4"/>
        </w:rPr>
        <w:t>действующего на основании</w:t>
      </w:r>
      <w:r w:rsidR="009E1550">
        <w:rPr>
          <w:rStyle w:val="a4"/>
        </w:rPr>
        <w:t xml:space="preserve"> </w:t>
      </w:r>
      <w:r w:rsidR="00D55A1B">
        <w:rPr>
          <w:noProof/>
        </w:rPr>
        <w:t>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(далее – Договор) о</w:t>
      </w:r>
      <w:proofErr w:type="gramEnd"/>
      <w:r w:rsidR="00C0430C" w:rsidRPr="00C0430C">
        <w:rPr>
          <w:rStyle w:val="a4"/>
        </w:rPr>
        <w:t xml:space="preserve"> </w:t>
      </w:r>
      <w:proofErr w:type="gramStart"/>
      <w:r w:rsidR="00C0430C" w:rsidRPr="00C0430C">
        <w:rPr>
          <w:rStyle w:val="a4"/>
        </w:rPr>
        <w:t>нижеследующем</w:t>
      </w:r>
      <w:proofErr w:type="gramEnd"/>
      <w:r w:rsidR="00C0430C" w:rsidRPr="00C0430C">
        <w:rPr>
          <w:rStyle w:val="a4"/>
        </w:rPr>
        <w:t xml:space="preserve">: </w:t>
      </w:r>
    </w:p>
    <w:p w:rsidR="009A1BA7" w:rsidRDefault="009A1BA7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  <w:bookmarkStart w:id="1" w:name="_GoBack"/>
      <w:bookmarkEnd w:id="1"/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proofErr w:type="gramStart"/>
      <w:r w:rsidRPr="00C0430C">
        <w:t>предусмотренны</w:t>
      </w:r>
      <w:r w:rsidR="006B0214">
        <w:t>х</w:t>
      </w:r>
      <w:proofErr w:type="gramEnd"/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</w:t>
      </w:r>
      <w:r w:rsidR="009A1BA7">
        <w:t>–</w:t>
      </w:r>
      <w:r>
        <w:t xml:space="preserve"> </w:t>
      </w:r>
      <w:r w:rsidR="009A1BA7">
        <w:t xml:space="preserve">пригодные для использования </w:t>
      </w:r>
      <w:r w:rsidR="004D3A37" w:rsidRPr="00B34445">
        <w:t xml:space="preserve">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9A1BA7">
        <w:rPr>
          <w:color w:val="000000"/>
          <w:spacing w:val="-2"/>
        </w:rPr>
        <w:t>, в том числе детали, узлы, агрегаты, оборудование и материалы, включая образовавшиеся в результате ремонта, демонтажа, и/или ликвидации принадлежащих Продавцу основных средств.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 из-за наличия технических дефектов, морального и физического старения, </w:t>
      </w:r>
      <w:r w:rsidR="009A1BA7">
        <w:t xml:space="preserve">частичной утраты </w:t>
      </w:r>
      <w:r w:rsidR="004813E7" w:rsidRPr="00D209AD">
        <w:t xml:space="preserve"> потребительских свойств</w:t>
      </w:r>
      <w:r w:rsidR="009A1BA7">
        <w:t xml:space="preserve"> и не подлежащих ремонту</w:t>
      </w:r>
      <w:r w:rsidR="004813E7" w:rsidRPr="00D209AD">
        <w:t xml:space="preserve">, а также </w:t>
      </w:r>
      <w:r w:rsidR="009A1BA7"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proofErr w:type="gramStart"/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>40%</w:t>
      </w:r>
      <w:r w:rsidR="003D0D4C">
        <w:fldChar w:fldCharType="end"/>
      </w:r>
      <w:bookmarkEnd w:id="2"/>
      <w:r>
        <w:t xml:space="preserve"> от общего объема всех ТМЦ, указанных в Приложении №</w:t>
      </w:r>
      <w:r w:rsidR="009A1BA7">
        <w:t xml:space="preserve"> </w:t>
      </w:r>
      <w:r>
        <w:t xml:space="preserve">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50%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  <w:proofErr w:type="gramEnd"/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60% </w:t>
      </w:r>
      <w:r>
        <w:fldChar w:fldCharType="end"/>
      </w:r>
      <w:bookmarkEnd w:id="5"/>
      <w:r>
        <w:t xml:space="preserve"> от общего объема всех ТМЦ, указанных в Приложении №</w:t>
      </w:r>
      <w:r w:rsidR="009A1BA7">
        <w:t xml:space="preserve"> </w:t>
      </w:r>
      <w:r>
        <w:t xml:space="preserve">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45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</w:t>
      </w:r>
      <w:proofErr w:type="gramStart"/>
      <w:r w:rsidR="00AE42F8">
        <w:t>Приложении</w:t>
      </w:r>
      <w:proofErr w:type="gramEnd"/>
      <w:r w:rsidR="00AE42F8">
        <w:t xml:space="preserve">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6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30  </w:t>
      </w:r>
      <w:r w:rsidR="0076435E">
        <w:fldChar w:fldCharType="end"/>
      </w:r>
      <w:bookmarkEnd w:id="6"/>
      <w:r w:rsidR="007D4FB7" w:rsidRPr="007D4FB7">
        <w:t xml:space="preserve">% от количества, указанного в </w:t>
      </w:r>
      <w:r w:rsidR="007D4FB7" w:rsidRPr="007D4FB7">
        <w:lastRenderedPageBreak/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</w:t>
      </w:r>
      <w:proofErr w:type="gramStart"/>
      <w:r w:rsidRPr="00C0430C">
        <w:t>документах</w:t>
      </w:r>
      <w:proofErr w:type="gramEnd"/>
      <w:r w:rsidRPr="00C0430C">
        <w:t>, перечисленных в п. 5.2.2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</w:t>
      </w:r>
      <w:proofErr w:type="gramStart"/>
      <w:r w:rsidR="00121642">
        <w:t>невостребованных</w:t>
      </w:r>
      <w:proofErr w:type="gramEnd"/>
      <w:r w:rsidR="00121642">
        <w:t xml:space="preserve">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FF2BBE">
        <w:rPr>
          <w:rFonts w:ascii="Times New Roman" w:hAnsi="Times New Roman"/>
          <w:sz w:val="24"/>
          <w:szCs w:val="24"/>
        </w:rPr>
        <w:t>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</w:t>
      </w:r>
      <w:proofErr w:type="gramEnd"/>
      <w:r w:rsidRPr="00FF2BBE">
        <w:rPr>
          <w:rFonts w:ascii="Times New Roman" w:hAnsi="Times New Roman"/>
          <w:sz w:val="24"/>
          <w:szCs w:val="24"/>
        </w:rPr>
        <w:t xml:space="preserve">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2828C1" w:rsidRDefault="00C0430C" w:rsidP="001436CA">
      <w:pPr>
        <w:pStyle w:val="a5"/>
        <w:jc w:val="both"/>
        <w:rPr>
          <w:i/>
          <w:noProof/>
          <w:color w:val="FF0000"/>
        </w:rPr>
      </w:pPr>
      <w:r w:rsidRPr="00C0430C">
        <w:t xml:space="preserve">3.2. </w:t>
      </w:r>
      <w:r w:rsidR="002828C1" w:rsidRPr="000D69AB">
        <w:rPr>
          <w:i/>
          <w:noProof/>
          <w:color w:val="FF0000"/>
        </w:rPr>
        <w:t>Редакция пункта для всех ТМЦ за исключением металлолома:</w:t>
      </w:r>
    </w:p>
    <w:p w:rsidR="00C0430C" w:rsidRDefault="00C0430C" w:rsidP="001436CA">
      <w:pPr>
        <w:pStyle w:val="a5"/>
        <w:jc w:val="both"/>
      </w:pPr>
      <w:r w:rsidRPr="00C0430C">
        <w:t>Стоимость Т</w:t>
      </w:r>
      <w:r w:rsidR="00EB5331">
        <w:t>МЦ</w:t>
      </w:r>
      <w:r w:rsidRPr="00C0430C">
        <w:t xml:space="preserve"> по настоящему Договору составляет</w:t>
      </w:r>
      <w:r w:rsidR="001436CA">
        <w:t xml:space="preserve"> </w:t>
      </w:r>
      <w:r w:rsidR="009E1550" w:rsidRPr="009E1550">
        <w:rPr>
          <w:i/>
        </w:rPr>
        <w:fldChar w:fldCharType="begin">
          <w:ffData>
            <w:name w:val=""/>
            <w:enabled/>
            <w:calcOnExit w:val="0"/>
            <w:textInput>
              <w:default w:val="_______ указать сумму в цифрах (и прописью)"/>
            </w:textInput>
          </w:ffData>
        </w:fldChar>
      </w:r>
      <w:r w:rsidR="009E1550" w:rsidRPr="009E1550">
        <w:rPr>
          <w:i/>
        </w:rPr>
        <w:instrText xml:space="preserve"> FORMTEXT </w:instrText>
      </w:r>
      <w:r w:rsidR="009E1550" w:rsidRPr="009E1550">
        <w:rPr>
          <w:i/>
        </w:rPr>
      </w:r>
      <w:r w:rsidR="009E1550" w:rsidRPr="009E1550">
        <w:rPr>
          <w:i/>
        </w:rPr>
        <w:fldChar w:fldCharType="separate"/>
      </w:r>
      <w:r w:rsidR="00546F1B">
        <w:rPr>
          <w:i/>
          <w:noProof/>
        </w:rPr>
        <w:t>_______ указать сумму в цифрах (и прописью)</w:t>
      </w:r>
      <w:r w:rsidR="009E1550" w:rsidRPr="009E1550">
        <w:rPr>
          <w:i/>
        </w:rPr>
        <w:fldChar w:fldCharType="end"/>
      </w:r>
      <w:r w:rsidRPr="00C0430C">
        <w:t xml:space="preserve"> </w:t>
      </w:r>
      <w:r w:rsidR="001436CA">
        <w:t>р</w:t>
      </w:r>
      <w:r w:rsidRPr="00C0430C">
        <w:t>уб</w:t>
      </w:r>
      <w:r w:rsidR="001436CA">
        <w:t xml:space="preserve">. </w:t>
      </w:r>
      <w:r w:rsidR="009E1550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</w:t>
      </w:r>
      <w:r w:rsidR="009E1550">
        <w:fldChar w:fldCharType="end"/>
      </w:r>
      <w:r w:rsidR="009E1550">
        <w:t xml:space="preserve"> </w:t>
      </w:r>
      <w:r w:rsidRPr="00C0430C">
        <w:t>коп</w:t>
      </w:r>
      <w:proofErr w:type="gramStart"/>
      <w:r w:rsidRPr="00C0430C">
        <w:t>.</w:t>
      </w:r>
      <w:proofErr w:type="gramEnd"/>
      <w:r w:rsidRPr="00C0430C">
        <w:t xml:space="preserve"> </w:t>
      </w:r>
      <w:proofErr w:type="gramStart"/>
      <w:r w:rsidRPr="00C0430C">
        <w:t>б</w:t>
      </w:r>
      <w:proofErr w:type="gramEnd"/>
      <w:r w:rsidRPr="00C0430C">
        <w:t xml:space="preserve">ез НДС; </w:t>
      </w:r>
      <w:r w:rsidR="009E1550" w:rsidRPr="009E1550">
        <w:rPr>
          <w:i/>
        </w:rPr>
        <w:fldChar w:fldCharType="begin">
          <w:ffData>
            <w:name w:val=""/>
            <w:enabled/>
            <w:calcOnExit w:val="0"/>
            <w:textInput>
              <w:default w:val="_______ указать сумму в цифрах (и прописью)"/>
            </w:textInput>
          </w:ffData>
        </w:fldChar>
      </w:r>
      <w:r w:rsidR="009E1550" w:rsidRPr="009E1550">
        <w:rPr>
          <w:i/>
        </w:rPr>
        <w:instrText xml:space="preserve"> FORMTEXT </w:instrText>
      </w:r>
      <w:r w:rsidR="009E1550" w:rsidRPr="009E1550">
        <w:rPr>
          <w:i/>
        </w:rPr>
      </w:r>
      <w:r w:rsidR="009E1550" w:rsidRPr="009E1550">
        <w:rPr>
          <w:i/>
        </w:rPr>
        <w:fldChar w:fldCharType="separate"/>
      </w:r>
      <w:r w:rsidR="00546F1B">
        <w:rPr>
          <w:i/>
          <w:noProof/>
        </w:rPr>
        <w:t>_______ указать сумму в цифрах (и прописью)</w:t>
      </w:r>
      <w:r w:rsidR="009E1550" w:rsidRPr="009E1550">
        <w:rPr>
          <w:i/>
        </w:rPr>
        <w:fldChar w:fldCharType="end"/>
      </w:r>
      <w:r w:rsidR="009E1550">
        <w:t xml:space="preserve"> </w:t>
      </w:r>
      <w:r w:rsidRPr="00C0430C">
        <w:t xml:space="preserve">руб. </w:t>
      </w:r>
      <w:r w:rsidR="009E1550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</w:t>
      </w:r>
      <w:r w:rsidR="009E1550">
        <w:fldChar w:fldCharType="end"/>
      </w:r>
      <w:r w:rsidR="009E1550">
        <w:t xml:space="preserve"> </w:t>
      </w:r>
      <w:r w:rsidRPr="00C0430C">
        <w:t>коп. НДС;</w:t>
      </w:r>
      <w:r w:rsidR="009E1550">
        <w:t xml:space="preserve"> </w:t>
      </w:r>
      <w:r w:rsidR="009E1550" w:rsidRPr="009E1550">
        <w:rPr>
          <w:i/>
        </w:rPr>
        <w:fldChar w:fldCharType="begin">
          <w:ffData>
            <w:name w:val=""/>
            <w:enabled/>
            <w:calcOnExit w:val="0"/>
            <w:textInput>
              <w:default w:val="_______ указать сумму в цифрах (и прописью)"/>
            </w:textInput>
          </w:ffData>
        </w:fldChar>
      </w:r>
      <w:r w:rsidR="009E1550" w:rsidRPr="009E1550">
        <w:rPr>
          <w:i/>
        </w:rPr>
        <w:instrText xml:space="preserve"> FORMTEXT </w:instrText>
      </w:r>
      <w:r w:rsidR="009E1550" w:rsidRPr="009E1550">
        <w:rPr>
          <w:i/>
        </w:rPr>
      </w:r>
      <w:r w:rsidR="009E1550" w:rsidRPr="009E1550">
        <w:rPr>
          <w:i/>
        </w:rPr>
        <w:fldChar w:fldCharType="separate"/>
      </w:r>
      <w:r w:rsidR="00546F1B">
        <w:rPr>
          <w:i/>
          <w:noProof/>
        </w:rPr>
        <w:t>_______ указать сумму в цифрах (и прописью)</w:t>
      </w:r>
      <w:r w:rsidR="009E1550" w:rsidRPr="009E1550">
        <w:rPr>
          <w:i/>
        </w:rPr>
        <w:fldChar w:fldCharType="end"/>
      </w:r>
      <w:r w:rsidR="009E1550">
        <w:rPr>
          <w:i/>
        </w:rPr>
        <w:t xml:space="preserve"> </w:t>
      </w:r>
      <w:r w:rsidRPr="00C0430C">
        <w:t xml:space="preserve">руб. </w:t>
      </w:r>
      <w:r w:rsidR="009E1550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</w:t>
      </w:r>
      <w:r w:rsidR="009E1550">
        <w:fldChar w:fldCharType="end"/>
      </w:r>
      <w:r w:rsidR="009E1550">
        <w:t xml:space="preserve"> </w:t>
      </w:r>
      <w:r w:rsidRPr="00C0430C">
        <w:t>коп</w:t>
      </w:r>
      <w:proofErr w:type="gramStart"/>
      <w:r w:rsidRPr="00C0430C">
        <w:t>.</w:t>
      </w:r>
      <w:proofErr w:type="gramEnd"/>
      <w:r w:rsidRPr="00C0430C">
        <w:t xml:space="preserve"> </w:t>
      </w:r>
      <w:proofErr w:type="gramStart"/>
      <w:r w:rsidRPr="00C0430C">
        <w:t>с</w:t>
      </w:r>
      <w:proofErr w:type="gramEnd"/>
      <w:r w:rsidRPr="00C0430C">
        <w:t xml:space="preserve"> учетом НДС.</w:t>
      </w:r>
    </w:p>
    <w:p w:rsidR="002828C1" w:rsidRDefault="002828C1" w:rsidP="001436CA">
      <w:pPr>
        <w:pStyle w:val="a5"/>
        <w:jc w:val="both"/>
      </w:pPr>
    </w:p>
    <w:p w:rsidR="002828C1" w:rsidRDefault="002828C1" w:rsidP="001436CA">
      <w:pPr>
        <w:pStyle w:val="a5"/>
        <w:jc w:val="both"/>
        <w:rPr>
          <w:i/>
          <w:noProof/>
          <w:color w:val="FF0000"/>
        </w:rPr>
      </w:pP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</w:p>
    <w:p w:rsidR="00CF4155" w:rsidRDefault="00CF4155" w:rsidP="001436CA">
      <w:pPr>
        <w:pStyle w:val="a5"/>
        <w:jc w:val="both"/>
      </w:pPr>
      <w:r>
        <w:rPr>
          <w:noProof/>
          <w:highlight w:val="lightGray"/>
        </w:rPr>
        <w:t xml:space="preserve">Стоимость ТМЦ по настоящему Договору составляет </w:t>
      </w:r>
      <w:r w:rsidR="00D55A1B">
        <w:rPr>
          <w:noProof/>
          <w:highlight w:val="lightGray"/>
        </w:rPr>
        <w:t>____________</w:t>
      </w:r>
      <w:r>
        <w:rPr>
          <w:noProof/>
          <w:highlight w:val="lightGray"/>
        </w:rPr>
        <w:t xml:space="preserve"> </w:t>
      </w:r>
      <w:r w:rsidR="00D55A1B">
        <w:rPr>
          <w:noProof/>
          <w:highlight w:val="lightGray"/>
        </w:rPr>
        <w:t>указать сумму в цифрах (и прописью) руб. _____ коп. без учета НДС</w:t>
      </w:r>
      <w:r w:rsidR="00D55A1B">
        <w:rPr>
          <w:noProof/>
        </w:rPr>
        <w:t>.</w:t>
      </w:r>
    </w:p>
    <w:p w:rsidR="002828C1" w:rsidRDefault="002828C1" w:rsidP="001436CA">
      <w:pPr>
        <w:pStyle w:val="a5"/>
        <w:jc w:val="both"/>
      </w:pPr>
    </w:p>
    <w:p w:rsidR="003059BF" w:rsidRDefault="00CF4155" w:rsidP="001436CA">
      <w:pPr>
        <w:pStyle w:val="a5"/>
        <w:jc w:val="both"/>
        <w:rPr>
          <w:i/>
          <w:color w:val="FF0000"/>
        </w:rPr>
      </w:pPr>
      <w:r>
        <w:rPr>
          <w:i/>
          <w:color w:val="FF0000"/>
        </w:rPr>
        <w:fldChar w:fldCharType="begin">
          <w:ffData>
            <w:name w:val="ТекстовоеПоле752"/>
            <w:enabled/>
            <w:calcOnExit w:val="0"/>
            <w:textInput>
              <w:default w:val="3.3.  применяется только для договоров реализации металлолома."/>
            </w:textInput>
          </w:ffData>
        </w:fldChar>
      </w:r>
      <w:bookmarkStart w:id="7" w:name="ТекстовоеПоле752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 применяется только для договоров реализации металлолома.</w:t>
      </w:r>
      <w:r>
        <w:rPr>
          <w:i/>
          <w:color w:val="FF0000"/>
        </w:rPr>
        <w:fldChar w:fldCharType="end"/>
      </w:r>
      <w:bookmarkEnd w:id="7"/>
    </w:p>
    <w:p w:rsidR="00CF4155" w:rsidRDefault="00CF4155" w:rsidP="001436CA">
      <w:pPr>
        <w:pStyle w:val="a5"/>
        <w:jc w:val="both"/>
        <w:rPr>
          <w:i/>
        </w:rPr>
      </w:pPr>
      <w:proofErr w:type="gramStart"/>
      <w:r>
        <w:rPr>
          <w:noProof/>
          <w:highlight w:val="lightGray"/>
        </w:rPr>
        <w:t xml:space="preserve">Поскольку операции по реализации </w:t>
      </w:r>
      <w:r w:rsidRPr="00BC43BF">
        <w:rPr>
          <w:noProof/>
        </w:rPr>
        <w:t>лом</w:t>
      </w:r>
      <w:r>
        <w:rPr>
          <w:noProof/>
        </w:rPr>
        <w:t>а</w:t>
      </w:r>
      <w:r w:rsidRPr="00BC43BF">
        <w:rPr>
          <w:noProof/>
        </w:rPr>
        <w:t xml:space="preserve"> и отход</w:t>
      </w:r>
      <w:r>
        <w:rPr>
          <w:noProof/>
        </w:rPr>
        <w:t>ов</w:t>
      </w:r>
      <w:r w:rsidRPr="00BC43BF">
        <w:rPr>
          <w:noProof/>
        </w:rPr>
        <w:t xml:space="preserve"> чёрных и цветных металлов</w:t>
      </w:r>
      <w:r>
        <w:rPr>
          <w:noProof/>
          <w:highlight w:val="lightGray"/>
        </w:rPr>
        <w:t xml:space="preserve">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noProof/>
        </w:rPr>
        <w:t xml:space="preserve"> </w:t>
      </w:r>
      <w:r>
        <w:rPr>
          <w:noProof/>
          <w:highlight w:val="lightGray"/>
        </w:rPr>
        <w:t xml:space="preserve">(п.8 ст.161 НК РФ), Покупатель при приобретении </w:t>
      </w:r>
      <w:r w:rsidRPr="00BC43BF">
        <w:rPr>
          <w:noProof/>
        </w:rPr>
        <w:t>лома и отходов чёрных и цветных металлов</w:t>
      </w:r>
      <w:r>
        <w:rPr>
          <w:noProof/>
          <w:highlight w:val="lightGray"/>
        </w:rPr>
        <w:t xml:space="preserve"> обязан исчислить НДС расчетным методом (п.4 ст.164 НК РФ) и уплатить соответствующую</w:t>
      </w:r>
      <w:proofErr w:type="gramEnd"/>
      <w:r>
        <w:rPr>
          <w:noProof/>
          <w:highlight w:val="lightGray"/>
        </w:rPr>
        <w:t xml:space="preserve"> сумму в бюджет.</w:t>
      </w:r>
      <w:r w:rsidRPr="00CF4155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 xml:space="preserve">При этом определенная настоящим Договором стоимость </w:t>
      </w:r>
      <w:r w:rsidRPr="00BC43BF">
        <w:rPr>
          <w:noProof/>
        </w:rPr>
        <w:t>лома и отходов чёрных и цветных металлов</w:t>
      </w:r>
      <w:r>
        <w:rPr>
          <w:noProof/>
          <w:highlight w:val="lightGray"/>
        </w:rPr>
        <w:t>, подлежащая оплате Продавцу, уменьшению не подлежит.</w:t>
      </w: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8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двумя равными частями по 50% от общей стоимости всех ТМЦ, указанных в Приложении №1 к настоящему Договору</w:t>
      </w:r>
      <w:r w:rsidR="001E69E1">
        <w:fldChar w:fldCharType="end"/>
      </w:r>
      <w:bookmarkEnd w:id="8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9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9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792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оригинал товарной накладной по форме ТОРГ-12, установленной в Приложении № 3 настоящего Договора;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счета-фактуры (указывается только для договоров, не предусматривающих реализацию металлолома, в </w:t>
      </w:r>
      <w:proofErr w:type="gramStart"/>
      <w:r>
        <w:rPr>
          <w:rFonts w:ascii="Times New Roman" w:hAnsi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которого Покупатель является налоговым агентом по НДС).</w:t>
      </w:r>
    </w:p>
    <w:p w:rsidR="0004465A" w:rsidRDefault="0004465A" w:rsidP="000446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4.4.1.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 реализации металлолома оригиналы документов (</w:t>
      </w:r>
      <w:r w:rsidRPr="0067293C">
        <w:rPr>
          <w:rFonts w:ascii="Times New Roman" w:eastAsia="Times New Roman" w:hAnsi="Times New Roman"/>
          <w:sz w:val="24"/>
          <w:szCs w:val="24"/>
          <w:lang w:eastAsia="ru-RU"/>
        </w:rPr>
        <w:t>счет-фактур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и товарная накладная по форме ТОРГ-12) выписываются после подписания приемо-сдаточного акта (далее - ПСА).</w:t>
      </w:r>
    </w:p>
    <w:p w:rsidR="008D1733" w:rsidRDefault="008D1733" w:rsidP="000446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65A" w:rsidRDefault="0004465A" w:rsidP="000446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</w:p>
    <w:p w:rsidR="00C0430C" w:rsidRPr="00C0430C" w:rsidRDefault="00C0430C" w:rsidP="000446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4465A">
        <w:rPr>
          <w:rFonts w:ascii="Times New Roman" w:hAnsi="Times New Roman"/>
          <w:sz w:val="24"/>
          <w:szCs w:val="24"/>
        </w:rPr>
        <w:t>Счета</w:t>
      </w:r>
      <w:r w:rsidRPr="00C0430C">
        <w:rPr>
          <w:rFonts w:ascii="Times New Roman" w:hAnsi="Times New Roman"/>
          <w:sz w:val="24"/>
          <w:szCs w:val="24"/>
        </w:rPr>
        <w:t xml:space="preserve">-фактуры, составляемые во исполнение обязательств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по настоящему Договору, должны быть оформлены в соответствии с требованиями действующего налогового законодательства</w:t>
      </w:r>
      <w:r w:rsidR="0004465A">
        <w:rPr>
          <w:rFonts w:ascii="Times New Roman" w:hAnsi="Times New Roman"/>
          <w:sz w:val="24"/>
          <w:szCs w:val="24"/>
        </w:rPr>
        <w:t xml:space="preserve">, </w:t>
      </w:r>
      <w:r w:rsidR="0004465A"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 w:rsidRPr="00C0430C">
        <w:rPr>
          <w:rFonts w:ascii="Times New Roman" w:hAnsi="Times New Roman"/>
          <w:sz w:val="24"/>
          <w:szCs w:val="24"/>
        </w:rPr>
        <w:t xml:space="preserve"> </w:t>
      </w:r>
    </w:p>
    <w:p w:rsidR="00C07C29" w:rsidRDefault="00C0430C" w:rsidP="008D1733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В течение </w:t>
      </w:r>
      <w:r w:rsidR="00333AD4" w:rsidRPr="00333AD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textInput>
              <w:default w:val="  5  "/>
            </w:textInput>
          </w:ffData>
        </w:fldChar>
      </w:r>
      <w:r w:rsidR="00333AD4" w:rsidRPr="00333AD4">
        <w:rPr>
          <w:rFonts w:ascii="Times New Roman" w:hAnsi="Times New Roman"/>
        </w:rPr>
        <w:instrText xml:space="preserve"> FORMTEXT </w:instrText>
      </w:r>
      <w:r w:rsidR="00333AD4" w:rsidRPr="00333AD4">
        <w:rPr>
          <w:rFonts w:ascii="Times New Roman" w:hAnsi="Times New Roman"/>
        </w:rPr>
      </w:r>
      <w:r w:rsidR="00333AD4" w:rsidRPr="00333AD4">
        <w:rPr>
          <w:rFonts w:ascii="Times New Roman" w:hAnsi="Times New Roman"/>
        </w:rPr>
        <w:fldChar w:fldCharType="separate"/>
      </w:r>
      <w:r w:rsidR="00546F1B">
        <w:rPr>
          <w:rFonts w:ascii="Times New Roman" w:hAnsi="Times New Roman"/>
          <w:noProof/>
        </w:rPr>
        <w:t xml:space="preserve">  5  </w:t>
      </w:r>
      <w:r w:rsidR="00333AD4" w:rsidRPr="00333AD4">
        <w:rPr>
          <w:rFonts w:ascii="Times New Roman" w:hAnsi="Times New Roman"/>
        </w:rPr>
        <w:fldChar w:fldCharType="end"/>
      </w:r>
      <w:r w:rsidRPr="00C0430C">
        <w:rPr>
          <w:rFonts w:ascii="Times New Roman" w:hAnsi="Times New Roman"/>
          <w:sz w:val="24"/>
          <w:szCs w:val="24"/>
        </w:rPr>
        <w:t xml:space="preserve"> рабочих </w:t>
      </w:r>
      <w:r w:rsidR="00C07C29">
        <w:rPr>
          <w:rFonts w:ascii="Times New Roman" w:hAnsi="Times New Roman"/>
          <w:noProof/>
          <w:sz w:val="24"/>
          <w:szCs w:val="24"/>
        </w:rPr>
        <w:t xml:space="preserve">дней с момента подписания настоящего Договора </w:t>
      </w:r>
      <w:r w:rsidR="008D1733">
        <w:rPr>
          <w:rFonts w:ascii="Times New Roman" w:hAnsi="Times New Roman"/>
          <w:noProof/>
          <w:sz w:val="24"/>
          <w:szCs w:val="24"/>
        </w:rPr>
        <w:t xml:space="preserve">                 </w:t>
      </w:r>
      <w:r w:rsidR="00C07C29">
        <w:rPr>
          <w:rFonts w:ascii="Times New Roman" w:hAnsi="Times New Roman"/>
          <w:noProof/>
          <w:sz w:val="24"/>
          <w:szCs w:val="24"/>
        </w:rPr>
        <w:t>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C07C29" w:rsidRDefault="00C07C29" w:rsidP="00C07C29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 w:rsidRPr="00C07C29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</w:t>
      </w:r>
      <w:r w:rsidRPr="00C07C29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</w:p>
    <w:p w:rsidR="00C07C29" w:rsidRDefault="00C07C29" w:rsidP="00C07C29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07C29" w:rsidRDefault="00C07C29" w:rsidP="00C07C29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</w:t>
      </w:r>
      <w:r w:rsidR="008D1733">
        <w:rPr>
          <w:rFonts w:ascii="Times New Roman" w:hAnsi="Times New Roman"/>
          <w:noProof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</w:t>
      </w:r>
      <w:r>
        <w:rPr>
          <w:rFonts w:ascii="Times New Roman" w:hAnsi="Times New Roman"/>
          <w:noProof/>
          <w:sz w:val="24"/>
          <w:szCs w:val="24"/>
        </w:rPr>
        <w:lastRenderedPageBreak/>
        <w:t>рабочего дня с момента получения уведомлений о несоответствии рассматривает их и направляет исправленные документы,</w:t>
      </w:r>
      <w:r w:rsidRPr="00C07C29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</w:p>
    <w:p w:rsidR="008D1733" w:rsidRDefault="008D1733" w:rsidP="00C07C29">
      <w:pPr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</w:p>
    <w:p w:rsidR="002B3A7A" w:rsidRPr="00A94DEA" w:rsidRDefault="00C0430C" w:rsidP="00A94D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904088" w:rsidRPr="00A94DEA">
        <w:rPr>
          <w:rFonts w:ascii="Times New Roman" w:hAnsi="Times New Roman"/>
          <w:color w:val="000000"/>
          <w:sz w:val="24"/>
          <w:szCs w:val="24"/>
        </w:rPr>
        <w:t>6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76435E" w:rsidP="00C246C2">
      <w:pPr>
        <w:pStyle w:val="a5"/>
        <w:jc w:val="both"/>
        <w:rPr>
          <w:highlight w:val="lightGray"/>
        </w:rPr>
      </w:pPr>
      <w:r w:rsidRPr="00A94DEA">
        <w:rPr>
          <w:noProof/>
          <w:highlight w:val="lightGray"/>
        </w:rPr>
        <w:t>665830, Российская Федерация, Иркутская область, г. Ангарск, АО «АЗКиОС»</w:t>
      </w:r>
      <w:r w:rsidR="007E7C47" w:rsidRPr="00A94DEA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 xml:space="preserve">, указанные в пункте 4.4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 xml:space="preserve">одписать акт сверки расчетов в </w:t>
      </w:r>
      <w:proofErr w:type="gramStart"/>
      <w:r w:rsidRPr="00C0430C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C0430C">
        <w:rPr>
          <w:rFonts w:ascii="Times New Roman" w:hAnsi="Times New Roman"/>
          <w:bCs/>
          <w:sz w:val="24"/>
          <w:szCs w:val="24"/>
        </w:rPr>
        <w:t xml:space="preserve">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76435E">
        <w:rPr>
          <w:sz w:val="24"/>
          <w:szCs w:val="24"/>
        </w:rPr>
        <w:t xml:space="preserve"> указанными в п.4.4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</w:t>
      </w:r>
      <w:proofErr w:type="gramStart"/>
      <w:r w:rsidRPr="00C0430C">
        <w:rPr>
          <w:color w:val="000000"/>
          <w:sz w:val="24"/>
          <w:szCs w:val="24"/>
        </w:rPr>
        <w:t>готов</w:t>
      </w:r>
      <w:r w:rsidR="001A7FE4">
        <w:rPr>
          <w:color w:val="000000"/>
          <w:sz w:val="24"/>
          <w:szCs w:val="24"/>
        </w:rPr>
        <w:t>ы</w:t>
      </w:r>
      <w:proofErr w:type="gramEnd"/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C0430C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8D1733" w:rsidRDefault="008D1733" w:rsidP="00C0430C">
      <w:pPr>
        <w:pStyle w:val="a3"/>
        <w:tabs>
          <w:tab w:val="left" w:pos="900"/>
        </w:tabs>
        <w:rPr>
          <w:color w:val="000000"/>
        </w:rPr>
      </w:pPr>
    </w:p>
    <w:p w:rsidR="00C0430C" w:rsidRDefault="00C0430C" w:rsidP="00A44E0C">
      <w:pPr>
        <w:pStyle w:val="a5"/>
        <w:jc w:val="both"/>
      </w:pPr>
      <w:r w:rsidRPr="00C0430C">
        <w:lastRenderedPageBreak/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>. В случае</w:t>
      </w:r>
      <w:proofErr w:type="gramStart"/>
      <w:r w:rsidRPr="00C0430C">
        <w:t>,</w:t>
      </w:r>
      <w:proofErr w:type="gramEnd"/>
      <w:r w:rsidRPr="00C0430C">
        <w:t xml:space="preserve">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6D02EB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10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 xml:space="preserve">, в </w:t>
      </w:r>
      <w:proofErr w:type="gramStart"/>
      <w:r w:rsidRPr="00D23E36">
        <w:rPr>
          <w:rFonts w:ascii="Times New Roman" w:hAnsi="Times New Roman"/>
          <w:sz w:val="24"/>
          <w:szCs w:val="24"/>
        </w:rPr>
        <w:t>случае</w:t>
      </w:r>
      <w:proofErr w:type="gramEnd"/>
      <w:r w:rsidRPr="00D23E36">
        <w:rPr>
          <w:rFonts w:ascii="Times New Roman" w:hAnsi="Times New Roman"/>
          <w:sz w:val="24"/>
          <w:szCs w:val="24"/>
        </w:rPr>
        <w:t xml:space="preserve">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lastRenderedPageBreak/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7.4.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ств </w:t>
      </w:r>
      <w:r w:rsidRPr="00C0430C">
        <w:rPr>
          <w:rFonts w:ascii="Times New Roman" w:hAnsi="Times New Roman"/>
          <w:b/>
          <w:sz w:val="24"/>
          <w:szCs w:val="24"/>
        </w:rPr>
        <w:t>Ст</w:t>
      </w:r>
      <w:proofErr w:type="gramEnd"/>
      <w:r w:rsidRPr="00C0430C">
        <w:rPr>
          <w:rFonts w:ascii="Times New Roman" w:hAnsi="Times New Roman"/>
          <w:b/>
          <w:sz w:val="24"/>
          <w:szCs w:val="24"/>
        </w:rPr>
        <w:t>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690406" w:rsidRPr="005062BF">
        <w:rPr>
          <w:rFonts w:ascii="Times New Roman" w:hAnsi="Times New Roman"/>
          <w:sz w:val="24"/>
          <w:szCs w:val="24"/>
        </w:rPr>
        <w:t xml:space="preserve">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 xml:space="preserve">стороны признают существенным условием договора, и в </w:t>
      </w:r>
      <w:proofErr w:type="gramStart"/>
      <w:r w:rsidRPr="005062BF">
        <w:rPr>
          <w:rFonts w:ascii="Times New Roman" w:hAnsi="Times New Roman"/>
          <w:sz w:val="24"/>
          <w:szCs w:val="24"/>
        </w:rPr>
        <w:t>случае</w:t>
      </w:r>
      <w:proofErr w:type="gramEnd"/>
      <w:r w:rsidRPr="005062BF">
        <w:rPr>
          <w:rFonts w:ascii="Times New Roman" w:hAnsi="Times New Roman"/>
          <w:sz w:val="24"/>
          <w:szCs w:val="24"/>
        </w:rPr>
        <w:t xml:space="preserve">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      </w:r>
            <w:proofErr w:type="gramStart"/>
            <w:r w:rsidRPr="00144232">
              <w:rPr>
                <w:rFonts w:ascii="Times New Roman" w:hAnsi="Times New Roman"/>
              </w:rPr>
      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      </w:r>
            <w:proofErr w:type="gramEnd"/>
            <w:r w:rsidRPr="00144232">
              <w:rPr>
                <w:rFonts w:ascii="Times New Roman" w:hAnsi="Times New Roman"/>
              </w:rPr>
              <w:t xml:space="preserve"> </w:t>
            </w:r>
            <w:proofErr w:type="gramStart"/>
            <w:r w:rsidRPr="00144232">
              <w:rPr>
                <w:rFonts w:ascii="Times New Roman" w:hAnsi="Times New Roman"/>
              </w:rPr>
              <w:t>условии</w:t>
            </w:r>
            <w:proofErr w:type="gramEnd"/>
            <w:r w:rsidRPr="00144232">
              <w:rPr>
                <w:rFonts w:ascii="Times New Roman" w:hAnsi="Times New Roman"/>
              </w:rPr>
      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</w:t>
            </w:r>
            <w:r w:rsidRPr="00647A43">
              <w:rPr>
                <w:rFonts w:ascii="Times New Roman" w:hAnsi="Times New Roman"/>
                <w:szCs w:val="24"/>
              </w:rPr>
              <w:lastRenderedPageBreak/>
              <w:t>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  <w:proofErr w:type="gramEnd"/>
    </w:p>
    <w:p w:rsidR="00C0430C" w:rsidRPr="00041FE4" w:rsidRDefault="00954C55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 коррупционную деятельность», размещенной в открытом доступе на официальном сайте </w:t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  <w:proofErr w:type="gramEnd"/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7763F4">
        <w:t>31.12.2019 г.</w:t>
      </w:r>
      <w:r w:rsidR="00D52B68">
        <w:t xml:space="preserve">, </w:t>
      </w:r>
      <w:r w:rsidRPr="00C0430C">
        <w:t xml:space="preserve">но в </w:t>
      </w:r>
      <w:proofErr w:type="gramStart"/>
      <w:r w:rsidRPr="00C0430C">
        <w:t>любом</w:t>
      </w:r>
      <w:proofErr w:type="gramEnd"/>
      <w:r w:rsidRPr="00C0430C">
        <w:t xml:space="preserve">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п.п.13.2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 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B74FD3">
        <w:rPr>
          <w:rFonts w:ascii="Times New Roman" w:hAnsi="Times New Roman"/>
          <w:sz w:val="24"/>
          <w:szCs w:val="24"/>
        </w:rPr>
        <w:t>,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если в результате нарушения сроков предоставления  уведомления или неправильного указания Стороной-получателем реквизитов для оплаты платежи были </w:t>
      </w:r>
      <w:r w:rsidRPr="00B74FD3">
        <w:rPr>
          <w:rFonts w:ascii="Times New Roman" w:hAnsi="Times New Roman"/>
          <w:sz w:val="24"/>
          <w:szCs w:val="24"/>
        </w:rPr>
        <w:lastRenderedPageBreak/>
        <w:t>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11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11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>
        <w:rPr>
          <w:rFonts w:ascii="Times New Roman" w:hAnsi="Times New Roman"/>
          <w:sz w:val="24"/>
          <w:szCs w:val="24"/>
        </w:rPr>
        <w:t>но</w:t>
      </w:r>
      <w:proofErr w:type="gramEnd"/>
      <w:r>
        <w:rPr>
          <w:rFonts w:ascii="Times New Roman" w:hAnsi="Times New Roman"/>
          <w:sz w:val="24"/>
          <w:szCs w:val="24"/>
        </w:rPr>
        <w:t xml:space="preserve">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</w:t>
      </w:r>
      <w:proofErr w:type="gramStart"/>
      <w:r w:rsidRPr="00C0430C">
        <w:rPr>
          <w:rFonts w:ascii="Times New Roman" w:hAnsi="Times New Roman"/>
          <w:sz w:val="24"/>
          <w:szCs w:val="24"/>
        </w:rPr>
        <w:t>указанных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в п.п.13.2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430C">
        <w:rPr>
          <w:rFonts w:ascii="Times New Roman" w:hAnsi="Times New Roman"/>
          <w:sz w:val="24"/>
          <w:szCs w:val="24"/>
        </w:rPr>
        <w:t>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2D2C85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</w:p>
    <w:p w:rsidR="002D2C85" w:rsidRDefault="002D2C85" w:rsidP="002D2C85">
      <w:pPr>
        <w:pStyle w:val="a3"/>
        <w:tabs>
          <w:tab w:val="left" w:pos="900"/>
        </w:tabs>
        <w:ind w:left="851"/>
      </w:pPr>
      <w:r>
        <w:t xml:space="preserve"> Приложение №7 – Список уполномоченных лиц;</w:t>
      </w:r>
    </w:p>
    <w:p w:rsidR="002D2C85" w:rsidRDefault="002D2C85" w:rsidP="002D2C85">
      <w:pPr>
        <w:pStyle w:val="a3"/>
        <w:tabs>
          <w:tab w:val="left" w:pos="900"/>
        </w:tabs>
        <w:ind w:left="851"/>
      </w:pPr>
      <w:r>
        <w:t xml:space="preserve"> Приложение №8 – Форма Акта сдачи приемки лома;</w:t>
      </w:r>
    </w:p>
    <w:p w:rsidR="002D2C85" w:rsidRDefault="002D2C85" w:rsidP="002D2C85">
      <w:pPr>
        <w:pStyle w:val="a3"/>
        <w:tabs>
          <w:tab w:val="left" w:pos="900"/>
        </w:tabs>
        <w:ind w:left="851"/>
      </w:pPr>
      <w:r>
        <w:t xml:space="preserve"> Приложение №___ - _____________.</w:t>
      </w:r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                                                      </w:t>
      </w:r>
      <w:r w:rsidR="007A0373">
        <w:rPr>
          <w:b/>
          <w:bCs/>
        </w:rPr>
        <w:t xml:space="preserve">   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D55A1B" w:rsidTr="002D2C85">
        <w:trPr>
          <w:trHeight w:val="992"/>
        </w:trPr>
        <w:tc>
          <w:tcPr>
            <w:tcW w:w="4773" w:type="dxa"/>
          </w:tcPr>
          <w:p w:rsid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2D2C85" w:rsidRDefault="00101995" w:rsidP="002D2C85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665830,Иркутская обл., г. Ангарск, Первый промышленный массив, квартал 54, строение 10</w:t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101995" w:rsidP="00D52B68">
            <w:pPr>
              <w:pStyle w:val="a5"/>
              <w:rPr>
                <w:b/>
                <w:bCs/>
              </w:rPr>
            </w:pPr>
            <w:r>
              <w:t>665835,Иркутская обл., г. Ангарск, а/я 2100</w:t>
            </w:r>
          </w:p>
          <w:p w:rsidR="002D2C85" w:rsidRDefault="002D2C85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 w:rsidP="002D2C85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101995">
              <w:t>(3955) 57-71-94</w:t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2D2C85" w:rsidRPr="002D2C85" w:rsidRDefault="009A28EE" w:rsidP="002D2C85">
            <w:pPr>
              <w:pStyle w:val="a9"/>
              <w:spacing w:after="0"/>
              <w:ind w:left="0"/>
              <w:jc w:val="both"/>
              <w:rPr>
                <w:noProof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304644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304644">
              <w:rPr>
                <w:lang w:val="en-US"/>
              </w:rPr>
              <w:t>:</w:t>
            </w:r>
            <w:r w:rsidRPr="00304644">
              <w:rPr>
                <w:lang w:val="en-US"/>
              </w:rPr>
              <w:t xml:space="preserve"> </w:t>
            </w:r>
            <w:r w:rsidR="00C0430C" w:rsidRPr="00304644">
              <w:rPr>
                <w:lang w:val="en-US"/>
              </w:rPr>
              <w:t xml:space="preserve"> </w:t>
            </w:r>
            <w:hyperlink r:id="rId9" w:history="1">
              <w:r w:rsidR="002D2C85"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azkios@anhk.rosneft.ru</w:t>
              </w:r>
            </w:hyperlink>
          </w:p>
        </w:tc>
        <w:tc>
          <w:tcPr>
            <w:tcW w:w="274" w:type="dxa"/>
            <w:gridSpan w:val="2"/>
          </w:tcPr>
          <w:p w:rsidR="00C0430C" w:rsidRPr="00304644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4842" w:type="dxa"/>
            <w:gridSpan w:val="2"/>
          </w:tcPr>
          <w:p w:rsidR="00C0430C" w:rsidRPr="00C0430C" w:rsidRDefault="00C1120F" w:rsidP="002D2C8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101995" w:rsidRDefault="00D55A1B" w:rsidP="002D2C8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55A1B" w:rsidRDefault="00D55A1B" w:rsidP="002D2C8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D2C85" w:rsidRPr="002D2C85" w:rsidRDefault="00101995" w:rsidP="00101995">
            <w:pPr>
              <w:pStyle w:val="a9"/>
              <w:spacing w:after="0"/>
              <w:ind w:left="0"/>
              <w:jc w:val="both"/>
            </w:pPr>
            <w:r>
              <w:t> </w:t>
            </w:r>
            <w:r>
              <w:t> </w:t>
            </w:r>
            <w:r>
              <w:t> </w:t>
            </w:r>
          </w:p>
          <w:p w:rsidR="00C0430C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5A1B" w:rsidRDefault="00D55A1B" w:rsidP="00D52B68">
            <w:pPr>
              <w:pStyle w:val="a9"/>
              <w:spacing w:after="0"/>
              <w:ind w:left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D55A1B" w:rsidRPr="00101995" w:rsidRDefault="00D55A1B" w:rsidP="00D52B68">
            <w:pPr>
              <w:pStyle w:val="a9"/>
              <w:spacing w:after="0"/>
              <w:ind w:left="0"/>
              <w:jc w:val="both"/>
              <w:rPr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9A28EE" w:rsidRPr="00D55A1B" w:rsidRDefault="009A28EE" w:rsidP="00D55A1B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7A0373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7A0373">
              <w:rPr>
                <w:lang w:val="en-US"/>
              </w:rPr>
              <w:t xml:space="preserve">: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</w:tc>
      </w:tr>
      <w:tr w:rsidR="00C0430C" w:rsidRPr="00DD62D9" w:rsidTr="002D2C85">
        <w:trPr>
          <w:trHeight w:val="3158"/>
        </w:trPr>
        <w:tc>
          <w:tcPr>
            <w:tcW w:w="4786" w:type="dxa"/>
            <w:gridSpan w:val="2"/>
          </w:tcPr>
          <w:p w:rsidR="00DD62D9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101995" w:rsidRPr="00DD09AB">
              <w:rPr>
                <w:noProof/>
              </w:rPr>
              <w:t>3801046676</w:t>
            </w:r>
          </w:p>
          <w:p w:rsidR="00C0430C" w:rsidRPr="00C0430C" w:rsidRDefault="00C0430C" w:rsidP="00101995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101995" w:rsidRPr="00DD09AB">
              <w:rPr>
                <w:noProof/>
              </w:rPr>
              <w:t>380101001</w:t>
            </w:r>
          </w:p>
          <w:p w:rsidR="00C0430C" w:rsidRPr="00C0430C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101995" w:rsidRPr="00DD09AB">
              <w:rPr>
                <w:noProof/>
              </w:rPr>
              <w:t>46693103</w:t>
            </w:r>
          </w:p>
          <w:p w:rsidR="00C0430C" w:rsidRPr="00C0430C" w:rsidRDefault="00C0430C" w:rsidP="00101995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101995" w:rsidRPr="00DD09AB">
              <w:rPr>
                <w:noProof/>
              </w:rPr>
              <w:t>20</w:t>
            </w:r>
            <w:r w:rsidR="00101995">
              <w:rPr>
                <w:noProof/>
              </w:rPr>
              <w:t>.59.5</w:t>
            </w:r>
          </w:p>
          <w:p w:rsidR="00C0430C" w:rsidRPr="00C0430C" w:rsidRDefault="00C0430C" w:rsidP="00101995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10199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="00101995" w:rsidRPr="00101995">
              <w:rPr>
                <w:rFonts w:ascii="Times New Roman" w:hAnsi="Times New Roman"/>
                <w:noProof/>
                <w:sz w:val="24"/>
                <w:szCs w:val="24"/>
              </w:rPr>
              <w:t>40702810513010000167</w:t>
            </w:r>
          </w:p>
          <w:p w:rsidR="002D2C85" w:rsidRPr="002D2C85" w:rsidRDefault="00C0430C" w:rsidP="0010199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="00101995" w:rsidRPr="00101995">
              <w:rPr>
                <w:rFonts w:ascii="Times New Roman" w:hAnsi="Times New Roman"/>
                <w:noProof/>
                <w:sz w:val="24"/>
                <w:szCs w:val="24"/>
              </w:rPr>
              <w:t>30101810200000000776</w:t>
            </w:r>
          </w:p>
          <w:p w:rsidR="00C0430C" w:rsidRPr="00C0430C" w:rsidRDefault="00C0430C" w:rsidP="00101995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Pr="00101995" w:rsidRDefault="00101995" w:rsidP="0010199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1995">
              <w:rPr>
                <w:rFonts w:ascii="Times New Roman" w:hAnsi="Times New Roman"/>
                <w:noProof/>
                <w:sz w:val="24"/>
                <w:szCs w:val="24"/>
              </w:rPr>
              <w:t>ФПАО "ДАЛЬНЕВОСТОЧНЫЙ БАНК"     "ИРКУТСКИЙ" Г.ИРКУТСК</w:t>
            </w:r>
          </w:p>
          <w:p w:rsidR="00DD62D9" w:rsidRPr="007A0373" w:rsidRDefault="00C0430C" w:rsidP="007A037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01995" w:rsidRPr="00101995">
              <w:rPr>
                <w:rFonts w:ascii="Times New Roman" w:hAnsi="Times New Roman"/>
                <w:noProof/>
                <w:sz w:val="24"/>
                <w:szCs w:val="24"/>
              </w:rPr>
              <w:t>042520776</w:t>
            </w:r>
          </w:p>
        </w:tc>
        <w:tc>
          <w:tcPr>
            <w:tcW w:w="284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D52B68" w:rsidRDefault="00C0430C" w:rsidP="00101995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C0430C" w:rsidRPr="00C0430C" w:rsidRDefault="00C0430C" w:rsidP="00101995">
            <w:pPr>
              <w:pStyle w:val="a9"/>
              <w:spacing w:after="0"/>
              <w:ind w:left="13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101995">
            <w:pPr>
              <w:pStyle w:val="a9"/>
              <w:spacing w:after="0"/>
              <w:ind w:left="13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D52B68" w:rsidRDefault="00C0430C" w:rsidP="00101995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C0430C" w:rsidRPr="00C0430C" w:rsidRDefault="00C0430C" w:rsidP="00101995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101995">
            <w:pPr>
              <w:pStyle w:val="a9"/>
              <w:spacing w:after="0"/>
              <w:ind w:left="13"/>
              <w:jc w:val="both"/>
              <w:rPr>
                <w:iCs/>
                <w:shd w:val="clear" w:color="auto" w:fill="D9D9D9"/>
              </w:rPr>
            </w:pPr>
            <w:proofErr w:type="gramStart"/>
            <w:r w:rsidRPr="00C0430C">
              <w:rPr>
                <w:b/>
                <w:bCs/>
                <w:iCs/>
              </w:rPr>
              <w:t>Р</w:t>
            </w:r>
            <w:proofErr w:type="gramEnd"/>
            <w:r w:rsidRPr="00C0430C">
              <w:rPr>
                <w:b/>
                <w:bCs/>
                <w:iCs/>
              </w:rPr>
              <w:t>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D52B68" w:rsidRDefault="00C0430C" w:rsidP="00101995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К</w:t>
            </w:r>
            <w:proofErr w:type="gramEnd"/>
            <w:r w:rsidRPr="00C0430C">
              <w:rPr>
                <w:b/>
                <w:bCs/>
                <w:iCs/>
              </w:rPr>
              <w:t>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  <w:p w:rsidR="00C0430C" w:rsidRPr="00C0430C" w:rsidRDefault="00C0430C" w:rsidP="00101995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5A1B" w:rsidRDefault="00D55A1B" w:rsidP="007A0373">
            <w:pPr>
              <w:pStyle w:val="a9"/>
              <w:spacing w:after="0"/>
              <w:ind w:left="13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7A0373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D55A1B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5A1B">
              <w:instrText xml:space="preserve"> FORMTEXT </w:instrText>
            </w:r>
            <w:r w:rsidR="00D55A1B">
              <w:fldChar w:fldCharType="separate"/>
            </w:r>
            <w:r w:rsidR="00D55A1B">
              <w:rPr>
                <w:noProof/>
              </w:rPr>
              <w:t>_________________</w:t>
            </w:r>
            <w:r w:rsidR="00D55A1B">
              <w:fldChar w:fldCharType="end"/>
            </w:r>
          </w:p>
        </w:tc>
      </w:tr>
      <w:tr w:rsidR="00C0430C" w:rsidRPr="00DD62D9" w:rsidTr="002D2C85">
        <w:trPr>
          <w:trHeight w:val="1760"/>
        </w:trPr>
        <w:tc>
          <w:tcPr>
            <w:tcW w:w="4786" w:type="dxa"/>
            <w:gridSpan w:val="2"/>
          </w:tcPr>
          <w:p w:rsidR="00DD62D9" w:rsidRPr="007A0373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101995" w:rsidRDefault="00D55A1B" w:rsidP="007A0373">
            <w:pPr>
              <w:pStyle w:val="a9"/>
              <w:spacing w:after="0"/>
              <w:ind w:left="0"/>
              <w:rPr>
                <w:i/>
                <w:iCs/>
                <w:noProof/>
                <w:shd w:val="clear" w:color="auto" w:fill="D9D9D9"/>
              </w:rPr>
            </w:pPr>
            <w:r>
              <w:rPr>
                <w:i/>
                <w:iCs/>
                <w:noProof/>
                <w:shd w:val="clear" w:color="auto" w:fill="D9D9D9"/>
              </w:rPr>
              <w:t>Г</w:t>
            </w:r>
            <w:r w:rsidR="00101995">
              <w:rPr>
                <w:i/>
                <w:iCs/>
                <w:noProof/>
                <w:shd w:val="clear" w:color="auto" w:fill="D9D9D9"/>
              </w:rPr>
              <w:t>енеральн</w:t>
            </w:r>
            <w:r>
              <w:rPr>
                <w:i/>
                <w:iCs/>
                <w:noProof/>
                <w:shd w:val="clear" w:color="auto" w:fill="D9D9D9"/>
              </w:rPr>
              <w:t>ый директор</w:t>
            </w:r>
          </w:p>
          <w:p w:rsidR="00C0430C" w:rsidRPr="00C77B9D" w:rsidRDefault="00101995" w:rsidP="007A0373">
            <w:pPr>
              <w:pStyle w:val="a9"/>
              <w:spacing w:after="0"/>
              <w:ind w:left="0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noProof/>
                <w:shd w:val="clear" w:color="auto" w:fill="D9D9D9"/>
              </w:rPr>
              <w:t>АО "АЗКиОС</w:t>
            </w:r>
          </w:p>
          <w:p w:rsidR="00C77B9D" w:rsidRDefault="00C77B9D" w:rsidP="007A0373">
            <w:pPr>
              <w:pStyle w:val="a5"/>
              <w:rPr>
                <w:b/>
                <w:iCs/>
              </w:rPr>
            </w:pPr>
          </w:p>
          <w:p w:rsidR="00101995" w:rsidRDefault="00101995" w:rsidP="007A0373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>_______________</w:t>
            </w:r>
            <w:r w:rsidR="00C77B9D"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t>В.</w:t>
            </w:r>
            <w:r w:rsidR="00D55A1B">
              <w:rPr>
                <w:i/>
                <w:iCs/>
              </w:rPr>
              <w:t>П</w:t>
            </w:r>
            <w:r>
              <w:rPr>
                <w:i/>
                <w:iCs/>
              </w:rPr>
              <w:t xml:space="preserve">. </w:t>
            </w:r>
            <w:r w:rsidR="00D55A1B">
              <w:rPr>
                <w:i/>
                <w:iCs/>
              </w:rPr>
              <w:t>Томин</w:t>
            </w:r>
            <w:r>
              <w:rPr>
                <w:i/>
                <w:iCs/>
              </w:rPr>
              <w:t xml:space="preserve"> /</w:t>
            </w:r>
          </w:p>
          <w:p w:rsidR="00C0430C" w:rsidRPr="007A0373" w:rsidRDefault="00C77B9D" w:rsidP="007A0373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 w:rsidR="00804665">
              <w:t xml:space="preserve">19 </w:t>
            </w:r>
            <w:r w:rsidRPr="00C0430C">
              <w:t>год</w:t>
            </w:r>
          </w:p>
        </w:tc>
        <w:tc>
          <w:tcPr>
            <w:tcW w:w="284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117725" w:rsidRPr="00201533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C0430C" w:rsidRDefault="00D55A1B" w:rsidP="00D55A1B">
            <w:pPr>
              <w:pStyle w:val="a9"/>
              <w:spacing w:after="0"/>
              <w:ind w:left="0" w:firstLine="3"/>
              <w:rPr>
                <w:iCs/>
              </w:rPr>
            </w:pPr>
            <w:r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0430C">
              <w:rPr>
                <w:iCs/>
              </w:rPr>
              <w:t xml:space="preserve"> </w:t>
            </w:r>
          </w:p>
          <w:p w:rsidR="00D55A1B" w:rsidRDefault="00D55A1B" w:rsidP="00D55A1B">
            <w:pPr>
              <w:pStyle w:val="a9"/>
              <w:spacing w:after="0"/>
              <w:ind w:left="0" w:firstLine="3"/>
              <w:rPr>
                <w:iCs/>
              </w:rPr>
            </w:pPr>
          </w:p>
          <w:p w:rsidR="00D55A1B" w:rsidRPr="00C0430C" w:rsidRDefault="00D55A1B" w:rsidP="00D55A1B">
            <w:pPr>
              <w:pStyle w:val="a9"/>
              <w:spacing w:after="0"/>
              <w:ind w:left="0" w:firstLine="3"/>
              <w:rPr>
                <w:iCs/>
              </w:rPr>
            </w:pPr>
          </w:p>
          <w:p w:rsidR="00C77B9D" w:rsidRPr="00C77B9D" w:rsidRDefault="00804665" w:rsidP="007A0373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>_______________</w:t>
            </w:r>
            <w:r w:rsidR="00D55A1B">
              <w:rPr>
                <w:i/>
                <w:iCs/>
              </w:rPr>
              <w:t xml:space="preserve"> /______________</w:t>
            </w:r>
            <w:r>
              <w:rPr>
                <w:i/>
                <w:iCs/>
              </w:rPr>
              <w:t xml:space="preserve"> /</w:t>
            </w:r>
          </w:p>
          <w:p w:rsidR="00C0430C" w:rsidRPr="007A0373" w:rsidRDefault="00C77B9D" w:rsidP="007A0373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 w:rsidR="00804665">
              <w:t xml:space="preserve">19 </w:t>
            </w:r>
            <w:r w:rsidRPr="00C0430C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E8" w:rsidRDefault="004169E8" w:rsidP="002B5D5A">
      <w:pPr>
        <w:spacing w:after="0" w:line="240" w:lineRule="auto"/>
      </w:pPr>
      <w:r>
        <w:separator/>
      </w:r>
    </w:p>
  </w:endnote>
  <w:endnote w:type="continuationSeparator" w:id="0">
    <w:p w:rsidR="004169E8" w:rsidRDefault="004169E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20A60" w:rsidRPr="00220A6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E8" w:rsidRDefault="004169E8" w:rsidP="002B5D5A">
      <w:pPr>
        <w:spacing w:after="0" w:line="240" w:lineRule="auto"/>
      </w:pPr>
      <w:r>
        <w:separator/>
      </w:r>
    </w:p>
  </w:footnote>
  <w:footnote w:type="continuationSeparator" w:id="0">
    <w:p w:rsidR="004169E8" w:rsidRDefault="004169E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4465A"/>
    <w:rsid w:val="00067DB3"/>
    <w:rsid w:val="00081F14"/>
    <w:rsid w:val="000A2014"/>
    <w:rsid w:val="000A610A"/>
    <w:rsid w:val="000C2A3C"/>
    <w:rsid w:val="000D4BE9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20A60"/>
    <w:rsid w:val="00230BA0"/>
    <w:rsid w:val="00255D79"/>
    <w:rsid w:val="0026640B"/>
    <w:rsid w:val="00274B7B"/>
    <w:rsid w:val="002828C1"/>
    <w:rsid w:val="002B3A7A"/>
    <w:rsid w:val="002B5D5A"/>
    <w:rsid w:val="002D2C85"/>
    <w:rsid w:val="002D3097"/>
    <w:rsid w:val="002E6D4E"/>
    <w:rsid w:val="002F6D44"/>
    <w:rsid w:val="0030432B"/>
    <w:rsid w:val="00304644"/>
    <w:rsid w:val="003059BF"/>
    <w:rsid w:val="0032627D"/>
    <w:rsid w:val="003316E3"/>
    <w:rsid w:val="00333AD4"/>
    <w:rsid w:val="00337757"/>
    <w:rsid w:val="00345D04"/>
    <w:rsid w:val="00352954"/>
    <w:rsid w:val="0037505F"/>
    <w:rsid w:val="0037551C"/>
    <w:rsid w:val="00381649"/>
    <w:rsid w:val="00394550"/>
    <w:rsid w:val="003D0D4C"/>
    <w:rsid w:val="003E3E13"/>
    <w:rsid w:val="003E59DF"/>
    <w:rsid w:val="00404A0D"/>
    <w:rsid w:val="00407139"/>
    <w:rsid w:val="004169E8"/>
    <w:rsid w:val="00426817"/>
    <w:rsid w:val="00427C87"/>
    <w:rsid w:val="00432008"/>
    <w:rsid w:val="004351FD"/>
    <w:rsid w:val="00445732"/>
    <w:rsid w:val="00471691"/>
    <w:rsid w:val="004813E7"/>
    <w:rsid w:val="00497DD4"/>
    <w:rsid w:val="004C3A1D"/>
    <w:rsid w:val="004D3A37"/>
    <w:rsid w:val="004E7691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90406"/>
    <w:rsid w:val="006B0214"/>
    <w:rsid w:val="006B2D29"/>
    <w:rsid w:val="006D02EB"/>
    <w:rsid w:val="006E5EF8"/>
    <w:rsid w:val="00730378"/>
    <w:rsid w:val="00761D3C"/>
    <w:rsid w:val="0076435E"/>
    <w:rsid w:val="00770E7D"/>
    <w:rsid w:val="007763F4"/>
    <w:rsid w:val="00792EC6"/>
    <w:rsid w:val="0079336D"/>
    <w:rsid w:val="007A0373"/>
    <w:rsid w:val="007C7ADF"/>
    <w:rsid w:val="007C7F55"/>
    <w:rsid w:val="007D4FB7"/>
    <w:rsid w:val="007E7C47"/>
    <w:rsid w:val="00804665"/>
    <w:rsid w:val="0080538E"/>
    <w:rsid w:val="00820431"/>
    <w:rsid w:val="008245DC"/>
    <w:rsid w:val="00837853"/>
    <w:rsid w:val="00847749"/>
    <w:rsid w:val="00857FE6"/>
    <w:rsid w:val="00881204"/>
    <w:rsid w:val="00892394"/>
    <w:rsid w:val="008A066B"/>
    <w:rsid w:val="008A77BD"/>
    <w:rsid w:val="008B2D46"/>
    <w:rsid w:val="008D1733"/>
    <w:rsid w:val="00904088"/>
    <w:rsid w:val="0092126B"/>
    <w:rsid w:val="0092177D"/>
    <w:rsid w:val="009253A9"/>
    <w:rsid w:val="00932CBE"/>
    <w:rsid w:val="009345D0"/>
    <w:rsid w:val="00947B78"/>
    <w:rsid w:val="00954C55"/>
    <w:rsid w:val="00955896"/>
    <w:rsid w:val="00986406"/>
    <w:rsid w:val="009A1BA7"/>
    <w:rsid w:val="009A28EE"/>
    <w:rsid w:val="009B001E"/>
    <w:rsid w:val="009B161C"/>
    <w:rsid w:val="009E1550"/>
    <w:rsid w:val="00A36422"/>
    <w:rsid w:val="00A44E0C"/>
    <w:rsid w:val="00A47012"/>
    <w:rsid w:val="00A56EE4"/>
    <w:rsid w:val="00A64F33"/>
    <w:rsid w:val="00A718F1"/>
    <w:rsid w:val="00A810FD"/>
    <w:rsid w:val="00A87926"/>
    <w:rsid w:val="00A913EE"/>
    <w:rsid w:val="00A94DEA"/>
    <w:rsid w:val="00AA5ED9"/>
    <w:rsid w:val="00AB2734"/>
    <w:rsid w:val="00AC7F34"/>
    <w:rsid w:val="00AE42F8"/>
    <w:rsid w:val="00AE4E73"/>
    <w:rsid w:val="00AE7BDC"/>
    <w:rsid w:val="00AF7D2A"/>
    <w:rsid w:val="00B01F56"/>
    <w:rsid w:val="00B20707"/>
    <w:rsid w:val="00B3364C"/>
    <w:rsid w:val="00B56B4C"/>
    <w:rsid w:val="00B62F35"/>
    <w:rsid w:val="00B74FD3"/>
    <w:rsid w:val="00B91343"/>
    <w:rsid w:val="00BA3157"/>
    <w:rsid w:val="00BD5876"/>
    <w:rsid w:val="00BE306D"/>
    <w:rsid w:val="00BF31DB"/>
    <w:rsid w:val="00C0430C"/>
    <w:rsid w:val="00C07C29"/>
    <w:rsid w:val="00C1120F"/>
    <w:rsid w:val="00C11DBD"/>
    <w:rsid w:val="00C12C71"/>
    <w:rsid w:val="00C16305"/>
    <w:rsid w:val="00C246C2"/>
    <w:rsid w:val="00C43508"/>
    <w:rsid w:val="00C77B9D"/>
    <w:rsid w:val="00CA4C3E"/>
    <w:rsid w:val="00CB20FC"/>
    <w:rsid w:val="00CE1FEB"/>
    <w:rsid w:val="00CF4155"/>
    <w:rsid w:val="00D104AB"/>
    <w:rsid w:val="00D52B68"/>
    <w:rsid w:val="00D55A1B"/>
    <w:rsid w:val="00DA18F5"/>
    <w:rsid w:val="00DA2DB3"/>
    <w:rsid w:val="00DA31F7"/>
    <w:rsid w:val="00DA79F8"/>
    <w:rsid w:val="00DD2106"/>
    <w:rsid w:val="00DD62D9"/>
    <w:rsid w:val="00DE237C"/>
    <w:rsid w:val="00DE350F"/>
    <w:rsid w:val="00E21545"/>
    <w:rsid w:val="00E45A03"/>
    <w:rsid w:val="00E466B0"/>
    <w:rsid w:val="00E46B89"/>
    <w:rsid w:val="00E64603"/>
    <w:rsid w:val="00E81559"/>
    <w:rsid w:val="00E96846"/>
    <w:rsid w:val="00EB5331"/>
    <w:rsid w:val="00EB5FD4"/>
    <w:rsid w:val="00ED0E42"/>
    <w:rsid w:val="00ED3359"/>
    <w:rsid w:val="00F0162F"/>
    <w:rsid w:val="00F12DD6"/>
    <w:rsid w:val="00F24403"/>
    <w:rsid w:val="00F71729"/>
    <w:rsid w:val="00FA01F7"/>
    <w:rsid w:val="00FB5F85"/>
    <w:rsid w:val="00FC2496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zkios@anhk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3D5C7-6A12-430A-9220-0F6756F6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14</Pages>
  <Words>6570</Words>
  <Characters>37450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Дружинина Анна Вадимовна</cp:lastModifiedBy>
  <cp:revision>18</cp:revision>
  <cp:lastPrinted>2019-06-07T08:00:00Z</cp:lastPrinted>
  <dcterms:created xsi:type="dcterms:W3CDTF">2019-03-20T12:37:00Z</dcterms:created>
  <dcterms:modified xsi:type="dcterms:W3CDTF">2019-06-17T02:28:00Z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