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150FEE" w:rsidRPr="00150FEE">
        <w:rPr>
          <w:rFonts w:eastAsia="Calibri"/>
          <w:szCs w:val="22"/>
        </w:rPr>
        <w:t>5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150FEE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F14B61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F14B61" w:rsidRPr="00F14B61">
        <w:rPr>
          <w:b/>
          <w:lang w:eastAsia="ru-RU" w:bidi="ru-RU"/>
        </w:rPr>
        <w:t>Автомобиль установка ППУА-1800/100 на ш. Урал-5557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F14B61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F14B61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3A7D04">
        <w:rPr>
          <w:b/>
          <w:bCs/>
          <w:lang w:eastAsia="ru-RU" w:bidi="ru-RU"/>
        </w:rPr>
        <w:t>0</w:t>
      </w:r>
      <w:r w:rsidR="00150FEE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150FEE">
        <w:rPr>
          <w:b/>
          <w:bCs/>
          <w:lang w:eastAsia="ru-RU" w:bidi="ru-RU"/>
        </w:rPr>
        <w:t>октября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150FEE">
        <w:rPr>
          <w:b/>
          <w:bCs/>
          <w:lang w:eastAsia="ru-RU" w:bidi="ru-RU"/>
        </w:rPr>
        <w:t>29</w:t>
      </w:r>
      <w:r w:rsidR="006D29E8" w:rsidRPr="00DB3D25">
        <w:rPr>
          <w:b/>
          <w:bCs/>
          <w:lang w:eastAsia="ru-RU" w:bidi="ru-RU"/>
        </w:rPr>
        <w:t xml:space="preserve">» </w:t>
      </w:r>
      <w:r w:rsidR="00150FEE">
        <w:rPr>
          <w:b/>
          <w:bCs/>
          <w:lang w:eastAsia="ru-RU" w:bidi="ru-RU"/>
        </w:rPr>
        <w:t>октября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F14B61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50FEE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50FEE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150FEE">
        <w:t>6</w:t>
      </w:r>
      <w:r w:rsidR="006D29E8" w:rsidRPr="002B0ACD">
        <w:t xml:space="preserve">» </w:t>
      </w:r>
      <w:r w:rsidR="00150FEE">
        <w:t>октября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150FEE">
        <w:t>29</w:t>
      </w:r>
      <w:r w:rsidR="006D29E8" w:rsidRPr="002B0ACD">
        <w:t xml:space="preserve">» </w:t>
      </w:r>
      <w:r w:rsidR="00150FEE">
        <w:t>октября</w:t>
      </w:r>
      <w:bookmarkStart w:id="4" w:name="_GoBack"/>
      <w:bookmarkEnd w:id="4"/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50FEE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14B61"/>
    <w:rsid w:val="00F2602D"/>
    <w:rsid w:val="00F2617D"/>
    <w:rsid w:val="00F40920"/>
    <w:rsid w:val="00F71FBC"/>
    <w:rsid w:val="00F8509A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41</cp:revision>
  <cp:lastPrinted>2019-10-02T10:23:00Z</cp:lastPrinted>
  <dcterms:created xsi:type="dcterms:W3CDTF">2018-04-16T10:44:00Z</dcterms:created>
  <dcterms:modified xsi:type="dcterms:W3CDTF">2021-10-05T07:27:00Z</dcterms:modified>
</cp:coreProperties>
</file>