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2978CC5E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19D7DD34" w:rsidR="002E0254" w:rsidRPr="00EE0134" w:rsidRDefault="00451DFC" w:rsidP="00451DFC">
      <w:pPr>
        <w:jc w:val="center"/>
      </w:pPr>
      <w:r>
        <w:rPr>
          <w:bCs/>
          <w:i/>
          <w:color w:val="FF0000"/>
          <w:sz w:val="16"/>
          <w:szCs w:val="16"/>
        </w:rPr>
        <w:t xml:space="preserve"> </w:t>
      </w:r>
      <w:r w:rsidR="002E0254" w:rsidRPr="00EE0134">
        <w:t>ООО ИК «СИБИНТЕК»</w:t>
      </w:r>
      <w:r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>невостребованн</w:t>
      </w:r>
      <w:r w:rsidR="00C10766">
        <w:t xml:space="preserve">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FC44CC">
        <w:t xml:space="preserve"> (категория имущества «</w:t>
      </w:r>
      <w:r w:rsidR="002064B8" w:rsidRPr="00FC44CC">
        <w:t>невостребованные МТР</w:t>
      </w:r>
      <w:r w:rsidR="00563309" w:rsidRPr="00FC44CC">
        <w:t>»)</w:t>
      </w:r>
      <w:r>
        <w:t>,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CB0211">
        <w:t>подавать Заявки на</w:t>
      </w:r>
      <w:r w:rsidR="00C6736C">
        <w:t xml:space="preserve"> участие в процедуре реализации</w:t>
      </w:r>
      <w:r w:rsidR="00220DB2">
        <w:t xml:space="preserve"> следующих лотов:</w:t>
      </w:r>
    </w:p>
    <w:tbl>
      <w:tblPr>
        <w:tblW w:w="5013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2709"/>
        <w:gridCol w:w="5103"/>
        <w:gridCol w:w="2410"/>
      </w:tblGrid>
      <w:tr w:rsidR="002064B8" w:rsidRPr="002064B8" w14:paraId="10CA19E7" w14:textId="77777777" w:rsidTr="0072688D">
        <w:trPr>
          <w:trHeight w:val="318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2064B8" w:rsidRPr="000F1DFF" w:rsidRDefault="002064B8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2064B8" w:rsidRPr="000F1DFF" w:rsidRDefault="002064B8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  <w:r w:rsidR="007F69A9" w:rsidRPr="000F1DFF">
              <w:rPr>
                <w:rFonts w:ascii="Arial" w:hAnsi="Arial" w:cs="Arial"/>
                <w:b/>
                <w:sz w:val="20"/>
                <w:szCs w:val="20"/>
              </w:rPr>
              <w:t xml:space="preserve"> Лота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13E5" w14:textId="6FCBAE56" w:rsidR="002064B8" w:rsidRPr="000F1DFF" w:rsidRDefault="002064B8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</w:tc>
      </w:tr>
      <w:tr w:rsidR="002064B8" w:rsidRPr="00134668" w14:paraId="49A85DC3" w14:textId="77777777" w:rsidTr="0072688D">
        <w:trPr>
          <w:trHeight w:val="562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FB6" w14:textId="41C12739" w:rsidR="002064B8" w:rsidRPr="00134668" w:rsidRDefault="007107F1" w:rsidP="00206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>Лот № 1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41778095" w:rsidR="002064B8" w:rsidRPr="00134668" w:rsidRDefault="004E299A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299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Расходные материалы для печатающей техники </w:t>
            </w:r>
            <w:r w:rsidR="003412ED" w:rsidRPr="003412ED">
              <w:rPr>
                <w:rFonts w:ascii="Arial" w:eastAsia="Times New Roman" w:hAnsi="Arial" w:cs="Arial"/>
                <w:color w:val="000000"/>
                <w:lang w:eastAsia="ru-RU"/>
              </w:rPr>
              <w:t>HP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DDD0" w14:textId="5CE00454" w:rsidR="002064B8" w:rsidRPr="00134668" w:rsidRDefault="004E299A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2064B8" w:rsidRPr="00134668" w14:paraId="6E8469CB" w14:textId="77777777" w:rsidTr="0072688D">
        <w:trPr>
          <w:trHeight w:val="554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22F" w14:textId="7341AC57" w:rsidR="002064B8" w:rsidRPr="00134668" w:rsidRDefault="007107F1" w:rsidP="00726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 </w:t>
            </w:r>
            <w:r w:rsidR="0072688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49BCD6E6" w:rsidR="002064B8" w:rsidRPr="00134668" w:rsidRDefault="007107F1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Расходные материалы для печатающей техники </w:t>
            </w:r>
            <w:proofErr w:type="spellStart"/>
            <w:r w:rsidR="003412ED" w:rsidRPr="003412ED">
              <w:rPr>
                <w:rFonts w:ascii="Arial" w:eastAsia="Times New Roman" w:hAnsi="Arial" w:cs="Arial"/>
                <w:color w:val="000000"/>
                <w:lang w:eastAsia="ru-RU"/>
              </w:rPr>
              <w:t>Kyocera</w:t>
            </w:r>
            <w:proofErr w:type="spellEnd"/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DF7" w14:textId="26510981" w:rsidR="002064B8" w:rsidRPr="00134668" w:rsidRDefault="0072688D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064B8" w:rsidRPr="00134668" w14:paraId="6334AFFA" w14:textId="77777777" w:rsidTr="0072688D">
        <w:trPr>
          <w:trHeight w:val="562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25F" w14:textId="1E6F345D" w:rsidR="002064B8" w:rsidRPr="00134668" w:rsidRDefault="004E299A" w:rsidP="00726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 </w:t>
            </w:r>
            <w:r w:rsidR="0072688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3F41F0D3" w:rsidR="002064B8" w:rsidRPr="00134668" w:rsidRDefault="00E52FCA" w:rsidP="00344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FCA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Расходные материалы для печатающей техники </w:t>
            </w:r>
            <w:proofErr w:type="spellStart"/>
            <w:r w:rsidR="003412ED" w:rsidRPr="003412ED">
              <w:rPr>
                <w:rFonts w:ascii="Arial" w:eastAsia="Times New Roman" w:hAnsi="Arial" w:cs="Arial"/>
                <w:color w:val="000000"/>
                <w:lang w:eastAsia="ru-RU"/>
              </w:rPr>
              <w:t>Crestron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E54" w14:textId="57F9A803" w:rsidR="002064B8" w:rsidRPr="00134668" w:rsidRDefault="0072688D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E299A" w:rsidRPr="00134668" w14:paraId="29A0E2EE" w14:textId="77777777" w:rsidTr="0072688D">
        <w:trPr>
          <w:trHeight w:val="562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D5" w14:textId="356FE712" w:rsidR="004E299A" w:rsidRPr="00134668" w:rsidRDefault="004E299A" w:rsidP="00726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 </w:t>
            </w:r>
            <w:r w:rsidR="0072688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114" w14:textId="7F50EFFE" w:rsidR="004E299A" w:rsidRPr="00134668" w:rsidRDefault="003412ED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1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Расходные материалы для печатающей техники  </w:t>
            </w:r>
            <w:proofErr w:type="spellStart"/>
            <w:r w:rsidRPr="003412ED">
              <w:rPr>
                <w:rFonts w:ascii="Arial" w:eastAsia="Times New Roman" w:hAnsi="Arial" w:cs="Arial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7024" w14:textId="4573113E" w:rsidR="004E299A" w:rsidRPr="003441A6" w:rsidRDefault="003441A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</w:tr>
      <w:tr w:rsidR="00824BDA" w:rsidRPr="00134668" w14:paraId="52730969" w14:textId="77777777" w:rsidTr="0072688D">
        <w:trPr>
          <w:trHeight w:val="562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E088" w14:textId="26CE99FE" w:rsidR="00824BDA" w:rsidRPr="00134668" w:rsidRDefault="00824BDA" w:rsidP="00726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6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Лот № </w:t>
            </w:r>
            <w:r w:rsidR="0072688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422" w14:textId="70305319" w:rsidR="00824BDA" w:rsidRPr="003441A6" w:rsidRDefault="003412ED" w:rsidP="0034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41A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Вычислительная техника 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512" w14:textId="2ECD9D11" w:rsidR="00824BDA" w:rsidRPr="003412ED" w:rsidRDefault="00C87144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14:paraId="4FA2D768" w14:textId="36D47D1C" w:rsidR="009D54B3" w:rsidRDefault="009D54B3">
      <w:pPr>
        <w:rPr>
          <w:bCs/>
          <w:color w:val="000000"/>
        </w:rPr>
      </w:pPr>
    </w:p>
    <w:p w14:paraId="10D05F82" w14:textId="77777777" w:rsidR="00451DFC" w:rsidRDefault="00451DFC">
      <w:pPr>
        <w:rPr>
          <w:bCs/>
          <w:color w:val="000000"/>
        </w:rPr>
      </w:pPr>
    </w:p>
    <w:p w14:paraId="57CD6D4F" w14:textId="77777777" w:rsidR="009D54B3" w:rsidRPr="00D05859" w:rsidRDefault="009D54B3">
      <w:pPr>
        <w:rPr>
          <w:bCs/>
          <w:color w:val="000000"/>
          <w:lang w:val="en-US"/>
        </w:rPr>
      </w:pPr>
    </w:p>
    <w:p w14:paraId="0BA671AB" w14:textId="67A57ECA" w:rsidR="009D54B3" w:rsidRDefault="009D54B3">
      <w:pPr>
        <w:rPr>
          <w:bCs/>
          <w:color w:val="000000"/>
        </w:rPr>
      </w:pPr>
    </w:p>
    <w:p w14:paraId="52FDF914" w14:textId="74494B1B" w:rsidR="00D05859" w:rsidRDefault="00D05859">
      <w:pPr>
        <w:rPr>
          <w:bCs/>
          <w:color w:val="000000"/>
        </w:rPr>
      </w:pPr>
    </w:p>
    <w:p w14:paraId="3AD338A7" w14:textId="54314398" w:rsidR="00D05859" w:rsidRDefault="00D05859">
      <w:pPr>
        <w:rPr>
          <w:bCs/>
          <w:color w:val="000000"/>
        </w:rPr>
      </w:pPr>
    </w:p>
    <w:p w14:paraId="00FB11C3" w14:textId="3AE51CC3" w:rsidR="00D05859" w:rsidRDefault="00D05859">
      <w:pPr>
        <w:rPr>
          <w:bCs/>
          <w:color w:val="000000"/>
        </w:rPr>
      </w:pPr>
    </w:p>
    <w:p w14:paraId="028D4427" w14:textId="007C4CE9" w:rsidR="00D05859" w:rsidRDefault="00D05859">
      <w:pPr>
        <w:rPr>
          <w:bCs/>
          <w:color w:val="000000"/>
        </w:rPr>
      </w:pPr>
    </w:p>
    <w:p w14:paraId="3B9F37BA" w14:textId="6629A411" w:rsidR="00D05859" w:rsidRDefault="00D05859">
      <w:pPr>
        <w:rPr>
          <w:bCs/>
          <w:color w:val="000000"/>
        </w:rPr>
      </w:pPr>
    </w:p>
    <w:p w14:paraId="6688148A" w14:textId="0D88CF59" w:rsidR="00D05859" w:rsidRDefault="00D05859">
      <w:pPr>
        <w:rPr>
          <w:bCs/>
          <w:color w:val="000000"/>
        </w:rPr>
      </w:pPr>
    </w:p>
    <w:p w14:paraId="54873B4F" w14:textId="62FB2575" w:rsidR="00D05859" w:rsidRDefault="00D05859">
      <w:pPr>
        <w:rPr>
          <w:bCs/>
          <w:color w:val="000000"/>
        </w:rPr>
      </w:pPr>
    </w:p>
    <w:p w14:paraId="57D8D896" w14:textId="6FA25397" w:rsidR="00D05859" w:rsidRDefault="00D05859">
      <w:pPr>
        <w:rPr>
          <w:bCs/>
          <w:color w:val="000000"/>
        </w:rPr>
      </w:pPr>
    </w:p>
    <w:p w14:paraId="416DC789" w14:textId="77777777" w:rsidR="00B1157F" w:rsidRDefault="00B1157F">
      <w:pPr>
        <w:rPr>
          <w:bCs/>
          <w:color w:val="000000"/>
        </w:rPr>
      </w:pPr>
    </w:p>
    <w:p w14:paraId="71036950" w14:textId="2AEC0A84" w:rsidR="00D05859" w:rsidRDefault="00D05859">
      <w:pPr>
        <w:rPr>
          <w:bCs/>
          <w:color w:val="000000"/>
        </w:rPr>
      </w:pPr>
    </w:p>
    <w:p w14:paraId="3C5C2586" w14:textId="62B60EAC" w:rsidR="00D05859" w:rsidRDefault="00D05859">
      <w:pPr>
        <w:rPr>
          <w:bCs/>
          <w:color w:val="000000"/>
        </w:rPr>
      </w:pPr>
    </w:p>
    <w:p w14:paraId="7D5DD15E" w14:textId="77777777" w:rsidR="003441A6" w:rsidRDefault="003441A6">
      <w:pPr>
        <w:rPr>
          <w:bCs/>
          <w:color w:val="000000"/>
        </w:rPr>
      </w:pPr>
    </w:p>
    <w:p w14:paraId="0689D354" w14:textId="5E1EFC30" w:rsidR="008968AE" w:rsidRPr="0099781C" w:rsidRDefault="0099781C">
      <w:r w:rsidRPr="0099781C">
        <w:rPr>
          <w:bCs/>
          <w:color w:val="000000"/>
        </w:rPr>
        <w:lastRenderedPageBreak/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01"/>
      </w:tblGrid>
      <w:tr w:rsidR="0099781C" w14:paraId="21C09930" w14:textId="781843A6" w:rsidTr="009D54B3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FC44CC">
        <w:trPr>
          <w:trHeight w:val="3392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9781C" w:rsidRPr="000A118D" w:rsidRDefault="0099781C" w:rsidP="009D54B3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E5B7B" w14:textId="50A8E0E8" w:rsidR="0013321B" w:rsidRPr="00D05859" w:rsidRDefault="0013321B" w:rsidP="0013321B">
            <w:pPr>
              <w:spacing w:after="0"/>
              <w:jc w:val="both"/>
              <w:rPr>
                <w:b/>
                <w:bCs/>
              </w:rPr>
            </w:pPr>
            <w:r w:rsidRPr="00D05859">
              <w:rPr>
                <w:b/>
                <w:bCs/>
              </w:rPr>
              <w:t xml:space="preserve">ООО </w:t>
            </w:r>
            <w:r w:rsidR="00CF1812" w:rsidRPr="00D05859">
              <w:rPr>
                <w:b/>
                <w:bCs/>
              </w:rPr>
              <w:t>ИК «СИБИНТЕК</w:t>
            </w:r>
            <w:r w:rsidRPr="00D05859">
              <w:rPr>
                <w:b/>
                <w:bCs/>
              </w:rPr>
              <w:t>»</w:t>
            </w:r>
          </w:p>
          <w:p w14:paraId="694F5F3F" w14:textId="215DA2E3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Адрес места нахождения: </w:t>
            </w:r>
            <w:r w:rsidR="00CF1812" w:rsidRPr="00D05859">
              <w:t>117152, г. Москва, Загородное шоссе, д.1, стр. 1</w:t>
            </w:r>
          </w:p>
          <w:p w14:paraId="2505ED6C" w14:textId="16F2DE93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Р/с </w:t>
            </w:r>
            <w:r w:rsidR="00D05859" w:rsidRPr="00D05859">
              <w:t>40702810900000002089</w:t>
            </w:r>
          </w:p>
          <w:p w14:paraId="06645DAB" w14:textId="22CE67AC" w:rsidR="0013321B" w:rsidRPr="00D05859" w:rsidRDefault="00D05859" w:rsidP="0013321B">
            <w:pPr>
              <w:spacing w:after="0"/>
              <w:jc w:val="both"/>
            </w:pPr>
            <w:r w:rsidRPr="00D05859">
              <w:t>«ВБРР» (АО), г. Москва</w:t>
            </w:r>
          </w:p>
          <w:p w14:paraId="536A1601" w14:textId="30E9A6A3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К/с </w:t>
            </w:r>
            <w:r w:rsidR="00D05859" w:rsidRPr="00D05859">
              <w:t>30101810900000000880</w:t>
            </w:r>
            <w:r w:rsidRPr="00D05859">
              <w:t xml:space="preserve"> </w:t>
            </w:r>
          </w:p>
          <w:p w14:paraId="27DAF6A3" w14:textId="77777777" w:rsidR="0013321B" w:rsidRPr="00D05859" w:rsidRDefault="0013321B" w:rsidP="0013321B">
            <w:pPr>
              <w:spacing w:after="0"/>
              <w:jc w:val="both"/>
            </w:pPr>
            <w:r w:rsidRPr="00D05859">
              <w:t>БИК 044525880</w:t>
            </w:r>
          </w:p>
          <w:p w14:paraId="16348FA1" w14:textId="3654A0B1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ИНН </w:t>
            </w:r>
            <w:r w:rsidR="00CF1812" w:rsidRPr="00D05859">
              <w:t>7708119944</w:t>
            </w:r>
            <w:r w:rsidRPr="00D05859">
              <w:t xml:space="preserve">, КПП </w:t>
            </w:r>
            <w:r w:rsidR="00D05859" w:rsidRPr="00D05859">
              <w:t>997750001</w:t>
            </w:r>
          </w:p>
          <w:p w14:paraId="7976C0BE" w14:textId="28AAF5E5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ОКПО </w:t>
            </w:r>
            <w:r w:rsidR="00CF1812" w:rsidRPr="00D05859">
              <w:t>51185455</w:t>
            </w:r>
          </w:p>
          <w:p w14:paraId="696FCAF5" w14:textId="4CCB31BF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Почтовый адрес: </w:t>
            </w:r>
            <w:r w:rsidR="002C22A1" w:rsidRPr="00D05859">
              <w:t>117152, г. Москва, Загородное шоссе, д.1, стр. 1</w:t>
            </w:r>
            <w:r w:rsidRPr="00D05859">
              <w:t xml:space="preserve"> </w:t>
            </w:r>
          </w:p>
          <w:p w14:paraId="75DC65E9" w14:textId="426DD54E" w:rsidR="0099781C" w:rsidRPr="00D05859" w:rsidRDefault="002C22A1" w:rsidP="0013321B">
            <w:pPr>
              <w:outlineLvl w:val="0"/>
            </w:pPr>
            <w:r w:rsidRPr="00D05859">
              <w:t>+7 (495) 755-52-73</w:t>
            </w:r>
          </w:p>
        </w:tc>
      </w:tr>
      <w:tr w:rsidR="0099781C" w14:paraId="79ACDD1D" w14:textId="25CE2A97" w:rsidTr="009D54B3">
        <w:trPr>
          <w:trHeight w:val="54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9781C" w:rsidRPr="000A118D" w:rsidRDefault="0099781C" w:rsidP="00917E5C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9781C" w:rsidRPr="00D40635" w:rsidRDefault="0099781C" w:rsidP="00917E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917E5C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9781C" w:rsidRPr="00024260" w:rsidRDefault="0099781C" w:rsidP="00024260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="00CD7139" w:rsidRPr="009E738F">
              <w:t xml:space="preserve">категория </w:t>
            </w:r>
            <w:r w:rsidR="00024260" w:rsidRPr="009E738F">
              <w:t xml:space="preserve">реализуемого </w:t>
            </w:r>
            <w:r w:rsidR="00CD7139" w:rsidRPr="009E738F">
              <w:t>имущества «невостребованные МТР</w:t>
            </w:r>
            <w:r w:rsidR="00024260" w:rsidRPr="009E738F">
              <w:t>»</w:t>
            </w:r>
            <w:r w:rsidR="00CD7139" w:rsidRPr="009E738F">
              <w:t>.</w:t>
            </w:r>
          </w:p>
        </w:tc>
      </w:tr>
      <w:tr w:rsidR="0099781C" w14:paraId="09E24A2D" w14:textId="33696579" w:rsidTr="009D54B3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9781C" w:rsidRPr="00024260" w:rsidRDefault="0099781C" w:rsidP="00024260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</w:t>
            </w:r>
            <w:r w:rsidR="00024260" w:rsidRPr="00024260">
              <w:rPr>
                <w:color w:val="000000"/>
              </w:rPr>
              <w:t>.</w:t>
            </w:r>
          </w:p>
        </w:tc>
      </w:tr>
      <w:tr w:rsidR="0099781C" w14:paraId="37A7E5A8" w14:textId="7777777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0640EAEE" w:rsidR="0099781C" w:rsidRPr="006E3984" w:rsidRDefault="0099781C" w:rsidP="0099781C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 w:rsidR="004B1E70">
              <w:rPr>
                <w:color w:val="000000"/>
              </w:rPr>
              <w:t xml:space="preserve">от Претендентов </w:t>
            </w:r>
            <w:r w:rsidRPr="0042030C">
              <w:rPr>
                <w:color w:val="000000"/>
              </w:rPr>
              <w:t>ценовых предложений.</w:t>
            </w:r>
          </w:p>
        </w:tc>
      </w:tr>
      <w:tr w:rsidR="0099781C" w14:paraId="1262B398" w14:textId="181C72FB" w:rsidTr="009D54B3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2E06245B" w:rsidR="00142425" w:rsidRPr="00F30C04" w:rsidRDefault="00142425" w:rsidP="00142425">
            <w:pPr>
              <w:jc w:val="both"/>
              <w:rPr>
                <w:color w:val="FF0000"/>
              </w:rPr>
            </w:pPr>
            <w:r w:rsidRPr="00F30C04">
              <w:t>П</w:t>
            </w:r>
            <w:r w:rsidR="005C2BE9" w:rsidRPr="00F30C04">
              <w:t>ублик</w:t>
            </w:r>
            <w:r w:rsidRPr="00F30C04">
              <w:t>уемая</w:t>
            </w:r>
            <w:r w:rsidR="00511A52">
              <w:t>, с</w:t>
            </w:r>
            <w:r w:rsidR="00511A52" w:rsidRPr="00F30C04">
              <w:rPr>
                <w:color w:val="000000" w:themeColor="text1"/>
              </w:rPr>
              <w:t xml:space="preserve">огласно </w:t>
            </w:r>
            <w:r w:rsidR="00511A52">
              <w:t>лота.</w:t>
            </w:r>
          </w:p>
          <w:p w14:paraId="69F2603B" w14:textId="07C22E05" w:rsidR="0099781C" w:rsidRPr="005C2BE9" w:rsidRDefault="0099781C" w:rsidP="00142425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>.</w:t>
            </w:r>
            <w:r w:rsidR="005C2BE9" w:rsidRPr="00F30C04">
              <w:rPr>
                <w:color w:val="000000" w:themeColor="text1"/>
              </w:rPr>
              <w:t xml:space="preserve"> </w:t>
            </w:r>
          </w:p>
        </w:tc>
      </w:tr>
      <w:tr w:rsidR="0099781C" w:rsidRPr="00DB0BE4" w14:paraId="23FA4A68" w14:textId="72D7DF87" w:rsidTr="009D54B3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9781C" w:rsidRDefault="005C2BE9" w:rsidP="00AE57DB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</w:t>
            </w:r>
            <w:r w:rsidR="008236A5" w:rsidRPr="00CB6E43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6B843BB" w:rsidR="00EC0735" w:rsidRPr="00DB0BE4" w:rsidRDefault="00EC0735" w:rsidP="00C8714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</w:t>
            </w:r>
            <w:r w:rsidRPr="00FC1BD3">
              <w:rPr>
                <w:color w:val="000000" w:themeColor="text1"/>
              </w:rPr>
              <w:t>Продавца</w:t>
            </w:r>
            <w:r w:rsidR="00E77BB5" w:rsidRPr="00FC1BD3">
              <w:rPr>
                <w:color w:val="000000" w:themeColor="text1"/>
              </w:rPr>
              <w:t xml:space="preserve"> (</w:t>
            </w:r>
            <w:r w:rsidR="00C87144" w:rsidRPr="00C87144">
              <w:rPr>
                <w:rFonts w:ascii="Arial" w:hAnsi="Arial" w:cs="Arial"/>
              </w:rPr>
              <w:t>:119071</w:t>
            </w:r>
            <w:r w:rsidR="00FC44CC" w:rsidRPr="004A6E2C">
              <w:rPr>
                <w:rFonts w:ascii="Arial" w:hAnsi="Arial" w:cs="Arial"/>
              </w:rPr>
              <w:t>, г. Москва, Малая Калужская, 15</w:t>
            </w:r>
            <w:r w:rsidR="00FC44CC">
              <w:rPr>
                <w:rFonts w:ascii="Arial" w:hAnsi="Arial" w:cs="Arial"/>
              </w:rPr>
              <w:t>)</w:t>
            </w:r>
          </w:p>
        </w:tc>
      </w:tr>
      <w:tr w:rsidR="0099781C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AAD9B" w14:textId="717CA0F5" w:rsidR="00E55334" w:rsidRPr="00824BDA" w:rsidRDefault="00E55334" w:rsidP="00E55334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824BDA">
              <w:t xml:space="preserve">Дата начала подачи Заявок: </w:t>
            </w:r>
            <w:r w:rsidR="00BB695B" w:rsidRPr="00BB695B">
              <w:rPr>
                <w:b/>
              </w:rPr>
              <w:t>01</w:t>
            </w:r>
            <w:r w:rsidRPr="00824BDA">
              <w:rPr>
                <w:rStyle w:val="a3"/>
                <w:b/>
                <w:color w:val="auto"/>
                <w:u w:val="none"/>
              </w:rPr>
              <w:t>.</w:t>
            </w:r>
            <w:r w:rsidR="00BB695B" w:rsidRPr="00757E78">
              <w:rPr>
                <w:rStyle w:val="a3"/>
                <w:b/>
                <w:color w:val="auto"/>
                <w:u w:val="none"/>
              </w:rPr>
              <w:t>11</w:t>
            </w:r>
            <w:r w:rsidRPr="00824BDA">
              <w:rPr>
                <w:rStyle w:val="a3"/>
                <w:b/>
                <w:color w:val="auto"/>
                <w:u w:val="none"/>
              </w:rPr>
              <w:t>.202</w:t>
            </w:r>
            <w:r w:rsidR="00824BDA">
              <w:rPr>
                <w:rStyle w:val="a3"/>
                <w:b/>
                <w:color w:val="auto"/>
                <w:u w:val="none"/>
              </w:rPr>
              <w:t xml:space="preserve">1 </w:t>
            </w:r>
            <w:r w:rsidRPr="00824BDA">
              <w:rPr>
                <w:rStyle w:val="a3"/>
                <w:b/>
                <w:color w:val="auto"/>
                <w:u w:val="none"/>
              </w:rPr>
              <w:t>г.</w:t>
            </w:r>
            <w:r w:rsidRPr="00824BDA">
              <w:rPr>
                <w:rStyle w:val="a3"/>
                <w:color w:val="auto"/>
              </w:rPr>
              <w:t xml:space="preserve"> </w:t>
            </w:r>
          </w:p>
          <w:p w14:paraId="6D72C7AE" w14:textId="60E837BE" w:rsidR="00E55334" w:rsidRPr="00824BDA" w:rsidRDefault="00E55334" w:rsidP="00E55334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824BDA">
              <w:t xml:space="preserve">Дата и время завершения приема </w:t>
            </w:r>
            <w:r w:rsidRPr="00824BDA">
              <w:rPr>
                <w:rStyle w:val="a3"/>
                <w:color w:val="auto"/>
                <w:u w:val="none"/>
              </w:rPr>
              <w:t>Заявок:</w:t>
            </w:r>
            <w:r w:rsidRPr="00824BDA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757E78">
              <w:rPr>
                <w:rStyle w:val="a3"/>
                <w:b/>
                <w:color w:val="auto"/>
                <w:u w:val="none"/>
              </w:rPr>
              <w:t>12</w:t>
            </w:r>
            <w:r w:rsidRPr="00824BDA">
              <w:rPr>
                <w:rStyle w:val="a3"/>
                <w:b/>
                <w:color w:val="auto"/>
                <w:u w:val="none"/>
              </w:rPr>
              <w:t>.</w:t>
            </w:r>
            <w:r w:rsidR="00757E78">
              <w:rPr>
                <w:rStyle w:val="a3"/>
                <w:b/>
                <w:color w:val="auto"/>
                <w:u w:val="none"/>
              </w:rPr>
              <w:t>11</w:t>
            </w:r>
            <w:r w:rsidRPr="00824BDA">
              <w:rPr>
                <w:rStyle w:val="a3"/>
                <w:b/>
                <w:color w:val="auto"/>
                <w:u w:val="none"/>
              </w:rPr>
              <w:t>.202</w:t>
            </w:r>
            <w:r w:rsidR="003441A6" w:rsidRPr="00824BDA">
              <w:rPr>
                <w:rStyle w:val="a3"/>
                <w:b/>
                <w:color w:val="auto"/>
                <w:u w:val="none"/>
              </w:rPr>
              <w:t>1</w:t>
            </w:r>
            <w:r w:rsidRPr="00824BDA">
              <w:rPr>
                <w:rStyle w:val="a3"/>
                <w:b/>
                <w:color w:val="auto"/>
                <w:u w:val="none"/>
              </w:rPr>
              <w:t xml:space="preserve"> г. </w:t>
            </w:r>
            <w:r w:rsidRPr="00824BDA">
              <w:rPr>
                <w:rStyle w:val="a3"/>
                <w:color w:val="auto"/>
                <w:u w:val="none"/>
              </w:rPr>
              <w:t>(до 18.00</w:t>
            </w:r>
            <w:r w:rsidRPr="00824BDA">
              <w:t xml:space="preserve"> по </w:t>
            </w:r>
            <w:r w:rsidRPr="00824BDA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3FA41101" w:rsidR="0099781C" w:rsidRPr="00A638B3" w:rsidRDefault="00CF1812" w:rsidP="00CF1812">
            <w:pPr>
              <w:jc w:val="both"/>
              <w:rPr>
                <w:b/>
                <w:bCs/>
                <w:color w:val="000000"/>
              </w:rPr>
            </w:pPr>
            <w:r w:rsidRPr="00824BDA">
              <w:rPr>
                <w:bCs/>
              </w:rPr>
              <w:t>ООО ИК «СИБИНТЕК»</w:t>
            </w:r>
            <w:r w:rsidR="00E55334">
              <w:rPr>
                <w:bCs/>
              </w:rPr>
              <w:t xml:space="preserve"> имеет право продлить срок подачи Заявок.</w:t>
            </w:r>
          </w:p>
        </w:tc>
      </w:tr>
      <w:tr w:rsidR="0099781C" w:rsidRPr="00F873FD" w14:paraId="471C87F0" w14:textId="526BDA53" w:rsidTr="009D54B3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lastRenderedPageBreak/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0E2E910B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1D205C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A9605C" w:rsidRPr="009B1C3F" w:rsidRDefault="00A9605C" w:rsidP="00A9605C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154FBD8" w:rsidR="00A9605C" w:rsidRDefault="00A9605C" w:rsidP="00A9605C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 w:rsidR="00A531B1"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14:paraId="3DF5BCB1" w14:textId="77777777" w:rsidR="00A9605C" w:rsidRDefault="00A9605C" w:rsidP="00A9605C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85180B4" w:rsidR="0099781C" w:rsidRPr="00DB7C35" w:rsidRDefault="00E3796B" w:rsidP="00E44E9F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2)</w:t>
            </w:r>
            <w:r w:rsidR="0099781C">
              <w:rPr>
                <w:bCs/>
                <w:iCs/>
              </w:rPr>
              <w:t xml:space="preserve">заявки, </w:t>
            </w:r>
            <w:r w:rsidR="0099781C" w:rsidRPr="00DB7C35">
              <w:rPr>
                <w:bCs/>
                <w:iCs/>
              </w:rPr>
              <w:t>содержащие</w:t>
            </w:r>
            <w:r w:rsidR="0099781C">
              <w:rPr>
                <w:bCs/>
                <w:iCs/>
              </w:rPr>
              <w:t xml:space="preserve"> н</w:t>
            </w:r>
            <w:r w:rsidR="0099781C"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9781C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7F05F5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44E9F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9D54B3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E44E9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99781C" w:rsidRDefault="0099781C" w:rsidP="00E44E9F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9781C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течение </w:t>
            </w:r>
            <w:r w:rsidRPr="005E4947">
              <w:rPr>
                <w:b/>
                <w:color w:val="000000"/>
                <w:highlight w:val="yellow"/>
                <w:u w:val="single"/>
              </w:rPr>
              <w:t>60</w:t>
            </w:r>
            <w:r>
              <w:rPr>
                <w:color w:val="000000"/>
              </w:rPr>
              <w:t xml:space="preserve"> дней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</w:t>
      </w:r>
      <w:r>
        <w:rPr>
          <w:bCs/>
          <w:iCs/>
          <w:color w:val="000000"/>
        </w:rPr>
        <w:lastRenderedPageBreak/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</w:t>
      </w:r>
      <w:bookmarkStart w:id="0" w:name="_GoBack"/>
      <w:bookmarkEnd w:id="0"/>
      <w:r>
        <w:rPr>
          <w:bCs/>
          <w:iCs/>
          <w:color w:val="000000"/>
        </w:rPr>
        <w:t xml:space="preserve">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744AB2CE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 Лотов.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2041FA26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1E2659FA" w14:textId="183CE6A5" w:rsidR="00C918FF" w:rsidRDefault="00C918FF" w:rsidP="00CA7907">
      <w:pPr>
        <w:ind w:firstLine="851"/>
        <w:jc w:val="both"/>
        <w:rPr>
          <w:b/>
        </w:rPr>
      </w:pPr>
      <w:r w:rsidRPr="000F639C">
        <w:rPr>
          <w:b/>
        </w:rPr>
        <w:t xml:space="preserve">ООО </w:t>
      </w:r>
      <w:r w:rsidR="002C22A1" w:rsidRPr="000F639C">
        <w:rPr>
          <w:b/>
        </w:rPr>
        <w:t xml:space="preserve">ИК </w:t>
      </w:r>
      <w:r w:rsidRPr="000F639C">
        <w:rPr>
          <w:b/>
        </w:rPr>
        <w:t>«</w:t>
      </w:r>
      <w:r w:rsidR="002C22A1" w:rsidRPr="000F639C">
        <w:rPr>
          <w:b/>
        </w:rPr>
        <w:t>СИБИНТЕК</w:t>
      </w:r>
      <w:r w:rsidRPr="000F639C">
        <w:rPr>
          <w:b/>
        </w:rPr>
        <w:t>»:</w:t>
      </w:r>
    </w:p>
    <w:p w14:paraId="43C4230E" w14:textId="34208C81" w:rsidR="00127F37" w:rsidRDefault="00127F37" w:rsidP="00FC1BD3">
      <w:pPr>
        <w:ind w:firstLine="851"/>
        <w:jc w:val="both"/>
      </w:pPr>
      <w:r>
        <w:t xml:space="preserve">1. </w:t>
      </w:r>
      <w:r w:rsidR="00FC1BD3">
        <w:t>Давыдова Ольга Сергеевна</w:t>
      </w:r>
      <w:r>
        <w:t>-</w:t>
      </w:r>
      <w:r w:rsidR="00FC1BD3">
        <w:t>Главный специалист отдела материально-технического обеспечения Управления по снабжению и логистике Бизнес-единица Москва ООО</w:t>
      </w:r>
      <w:r w:rsidR="006B34E7">
        <w:t> </w:t>
      </w:r>
      <w:r w:rsidR="00FC1BD3">
        <w:t>ИК</w:t>
      </w:r>
      <w:r w:rsidR="006B34E7">
        <w:t> </w:t>
      </w:r>
      <w:r w:rsidR="00FC1BD3">
        <w:t>«СИБИНТЕК»</w:t>
      </w:r>
      <w:r>
        <w:t>, тел.,</w:t>
      </w:r>
      <w:r w:rsidR="006B34E7" w:rsidRPr="006B34E7">
        <w:t xml:space="preserve"> +7 499 517-80-81 доб. 48678</w:t>
      </w:r>
      <w:r w:rsidR="006B34E7">
        <w:t xml:space="preserve">, моб. </w:t>
      </w:r>
      <w:r w:rsidR="00FC1BD3">
        <w:t>+</w:t>
      </w:r>
      <w:r w:rsidR="00FC1BD3" w:rsidRPr="00FC1BD3">
        <w:t>7-925-823-58-67</w:t>
      </w:r>
      <w:r>
        <w:t xml:space="preserve">  ,  </w:t>
      </w:r>
      <w:hyperlink r:id="rId9" w:history="1">
        <w:r w:rsidR="00FC1BD3" w:rsidRPr="00D34CA9">
          <w:rPr>
            <w:rStyle w:val="a3"/>
          </w:rPr>
          <w:t>DavydovaOS2@sibintek.ru</w:t>
        </w:r>
      </w:hyperlink>
      <w:r w:rsidR="00FC1BD3">
        <w:t xml:space="preserve"> </w:t>
      </w:r>
    </w:p>
    <w:p w14:paraId="5681B77C" w14:textId="6BA65E02" w:rsidR="00127F37" w:rsidRDefault="00127F37" w:rsidP="000F639C">
      <w:pPr>
        <w:jc w:val="both"/>
      </w:pPr>
    </w:p>
    <w:p w14:paraId="1BE933B1" w14:textId="35777B5B" w:rsidR="00CA7907" w:rsidRPr="00A405ED" w:rsidRDefault="00CA7907" w:rsidP="00127F37">
      <w:pPr>
        <w:ind w:firstLine="851"/>
        <w:jc w:val="both"/>
      </w:pPr>
    </w:p>
    <w:sectPr w:rsidR="00CA7907" w:rsidRPr="00A405ED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5BBC7" w14:textId="77777777" w:rsidR="00C87144" w:rsidRDefault="00C87144" w:rsidP="007C61DB">
      <w:pPr>
        <w:spacing w:after="0" w:line="240" w:lineRule="auto"/>
      </w:pPr>
      <w:r>
        <w:separator/>
      </w:r>
    </w:p>
  </w:endnote>
  <w:endnote w:type="continuationSeparator" w:id="0">
    <w:p w14:paraId="67104CCB" w14:textId="77777777" w:rsidR="00C87144" w:rsidRDefault="00C87144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C87144" w:rsidRDefault="00C87144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87144" w:rsidRDefault="00C87144">
    <w:pPr>
      <w:pStyle w:val="a7"/>
    </w:pPr>
  </w:p>
  <w:p w14:paraId="50739F6C" w14:textId="77777777" w:rsidR="00C87144" w:rsidRDefault="00C87144">
    <w:pPr>
      <w:pStyle w:val="a7"/>
    </w:pPr>
  </w:p>
  <w:p w14:paraId="7EB7D2F7" w14:textId="77777777" w:rsidR="00C87144" w:rsidRDefault="00C87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1EE6" w14:textId="77777777" w:rsidR="00C87144" w:rsidRDefault="00C87144" w:rsidP="007C61DB">
      <w:pPr>
        <w:spacing w:after="0" w:line="240" w:lineRule="auto"/>
      </w:pPr>
      <w:r>
        <w:separator/>
      </w:r>
    </w:p>
  </w:footnote>
  <w:footnote w:type="continuationSeparator" w:id="0">
    <w:p w14:paraId="40C7C1BA" w14:textId="77777777" w:rsidR="00C87144" w:rsidRDefault="00C87144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87144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87144" w:rsidRPr="006014A0" w:rsidRDefault="00C87144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87144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87144" w:rsidRPr="00792B6B" w:rsidRDefault="00C87144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87144" w:rsidRDefault="00C87144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87144" w:rsidRPr="005B065D" w:rsidRDefault="00C87144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87144" w:rsidRDefault="00C87144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5C9754D3" w14:textId="77777777" w:rsidR="00C87144" w:rsidRPr="008C2FAB" w:rsidRDefault="00C87144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87144" w:rsidRDefault="00C87144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24260"/>
    <w:rsid w:val="00042214"/>
    <w:rsid w:val="00050221"/>
    <w:rsid w:val="000533A9"/>
    <w:rsid w:val="00067825"/>
    <w:rsid w:val="000735F5"/>
    <w:rsid w:val="00096DBB"/>
    <w:rsid w:val="000A118D"/>
    <w:rsid w:val="000A15C8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639C"/>
    <w:rsid w:val="000F7B42"/>
    <w:rsid w:val="00120151"/>
    <w:rsid w:val="00122C8A"/>
    <w:rsid w:val="00127F37"/>
    <w:rsid w:val="0013321B"/>
    <w:rsid w:val="00134668"/>
    <w:rsid w:val="00142425"/>
    <w:rsid w:val="001444AB"/>
    <w:rsid w:val="00155A08"/>
    <w:rsid w:val="00161F2A"/>
    <w:rsid w:val="0016261B"/>
    <w:rsid w:val="00167A00"/>
    <w:rsid w:val="0017212F"/>
    <w:rsid w:val="00177E2E"/>
    <w:rsid w:val="00184096"/>
    <w:rsid w:val="001A7FB3"/>
    <w:rsid w:val="001C019C"/>
    <w:rsid w:val="001C1C70"/>
    <w:rsid w:val="001C7258"/>
    <w:rsid w:val="001D205C"/>
    <w:rsid w:val="001E25FE"/>
    <w:rsid w:val="002064B8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22A1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412ED"/>
    <w:rsid w:val="003441A6"/>
    <w:rsid w:val="00350490"/>
    <w:rsid w:val="0035164C"/>
    <w:rsid w:val="00352D91"/>
    <w:rsid w:val="00360D8A"/>
    <w:rsid w:val="00374B37"/>
    <w:rsid w:val="00377978"/>
    <w:rsid w:val="0039112A"/>
    <w:rsid w:val="0039186C"/>
    <w:rsid w:val="00394876"/>
    <w:rsid w:val="003A65C5"/>
    <w:rsid w:val="003B1305"/>
    <w:rsid w:val="003B70B0"/>
    <w:rsid w:val="003C2429"/>
    <w:rsid w:val="003D301A"/>
    <w:rsid w:val="003E2C56"/>
    <w:rsid w:val="003F66B9"/>
    <w:rsid w:val="004036E0"/>
    <w:rsid w:val="00421423"/>
    <w:rsid w:val="00426453"/>
    <w:rsid w:val="0044030B"/>
    <w:rsid w:val="00451DFC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8B6"/>
    <w:rsid w:val="004E299A"/>
    <w:rsid w:val="004E2CCC"/>
    <w:rsid w:val="004E5237"/>
    <w:rsid w:val="004F0B8E"/>
    <w:rsid w:val="004F58BA"/>
    <w:rsid w:val="00502621"/>
    <w:rsid w:val="005068AD"/>
    <w:rsid w:val="00507140"/>
    <w:rsid w:val="005115AB"/>
    <w:rsid w:val="00511A52"/>
    <w:rsid w:val="00515083"/>
    <w:rsid w:val="005155BE"/>
    <w:rsid w:val="00535ECE"/>
    <w:rsid w:val="005410FE"/>
    <w:rsid w:val="00544FA2"/>
    <w:rsid w:val="00550BB1"/>
    <w:rsid w:val="00551199"/>
    <w:rsid w:val="00551423"/>
    <w:rsid w:val="00556807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C2BE9"/>
    <w:rsid w:val="005D2C79"/>
    <w:rsid w:val="005D3382"/>
    <w:rsid w:val="005D446C"/>
    <w:rsid w:val="005E2986"/>
    <w:rsid w:val="005E3753"/>
    <w:rsid w:val="005E4947"/>
    <w:rsid w:val="005F2F0B"/>
    <w:rsid w:val="006014A0"/>
    <w:rsid w:val="00603D85"/>
    <w:rsid w:val="00605D0A"/>
    <w:rsid w:val="00610869"/>
    <w:rsid w:val="00616148"/>
    <w:rsid w:val="006313D5"/>
    <w:rsid w:val="00643E8A"/>
    <w:rsid w:val="00646558"/>
    <w:rsid w:val="00647B89"/>
    <w:rsid w:val="00660235"/>
    <w:rsid w:val="00683767"/>
    <w:rsid w:val="006901A6"/>
    <w:rsid w:val="00695513"/>
    <w:rsid w:val="006A229A"/>
    <w:rsid w:val="006A3EE2"/>
    <w:rsid w:val="006A65A7"/>
    <w:rsid w:val="006B1CF1"/>
    <w:rsid w:val="006B34E7"/>
    <w:rsid w:val="006B5C24"/>
    <w:rsid w:val="006C027F"/>
    <w:rsid w:val="006C512D"/>
    <w:rsid w:val="006D18F5"/>
    <w:rsid w:val="006E3984"/>
    <w:rsid w:val="00702657"/>
    <w:rsid w:val="007107F1"/>
    <w:rsid w:val="007140D3"/>
    <w:rsid w:val="00722C80"/>
    <w:rsid w:val="0072688D"/>
    <w:rsid w:val="00751965"/>
    <w:rsid w:val="00757AD4"/>
    <w:rsid w:val="00757E78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24BDA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B12D1"/>
    <w:rsid w:val="009B258B"/>
    <w:rsid w:val="009C2B84"/>
    <w:rsid w:val="009D54B3"/>
    <w:rsid w:val="009D60DF"/>
    <w:rsid w:val="009E03EF"/>
    <w:rsid w:val="009E0E59"/>
    <w:rsid w:val="009E122E"/>
    <w:rsid w:val="009E738F"/>
    <w:rsid w:val="009F3861"/>
    <w:rsid w:val="00A03D96"/>
    <w:rsid w:val="00A214E1"/>
    <w:rsid w:val="00A405ED"/>
    <w:rsid w:val="00A40975"/>
    <w:rsid w:val="00A43DC4"/>
    <w:rsid w:val="00A46DB1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B1157F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A5964"/>
    <w:rsid w:val="00BB3B38"/>
    <w:rsid w:val="00BB695B"/>
    <w:rsid w:val="00BB782A"/>
    <w:rsid w:val="00BC09ED"/>
    <w:rsid w:val="00BC0FDD"/>
    <w:rsid w:val="00BD5B37"/>
    <w:rsid w:val="00BF3395"/>
    <w:rsid w:val="00BF35AE"/>
    <w:rsid w:val="00C0340B"/>
    <w:rsid w:val="00C0708B"/>
    <w:rsid w:val="00C10766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87144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F1812"/>
    <w:rsid w:val="00D00F45"/>
    <w:rsid w:val="00D05859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F5328"/>
    <w:rsid w:val="00E026A8"/>
    <w:rsid w:val="00E03988"/>
    <w:rsid w:val="00E06490"/>
    <w:rsid w:val="00E069DE"/>
    <w:rsid w:val="00E27A63"/>
    <w:rsid w:val="00E365A7"/>
    <w:rsid w:val="00E3796B"/>
    <w:rsid w:val="00E37D94"/>
    <w:rsid w:val="00E41BA9"/>
    <w:rsid w:val="00E44E9F"/>
    <w:rsid w:val="00E513D9"/>
    <w:rsid w:val="00E52FCA"/>
    <w:rsid w:val="00E55334"/>
    <w:rsid w:val="00E56900"/>
    <w:rsid w:val="00E5694D"/>
    <w:rsid w:val="00E56B61"/>
    <w:rsid w:val="00E6295A"/>
    <w:rsid w:val="00E644F2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4DC2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30CD4"/>
    <w:rsid w:val="00F40E39"/>
    <w:rsid w:val="00F66C9F"/>
    <w:rsid w:val="00F76142"/>
    <w:rsid w:val="00F767DC"/>
    <w:rsid w:val="00F80F78"/>
    <w:rsid w:val="00F85CB7"/>
    <w:rsid w:val="00F864AE"/>
    <w:rsid w:val="00F86C10"/>
    <w:rsid w:val="00FA71AB"/>
    <w:rsid w:val="00FC1BD3"/>
    <w:rsid w:val="00FC1E55"/>
    <w:rsid w:val="00FC44CC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ydovaOS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499E-AF9D-49FB-BA14-C1903CDC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Давыдова Ольга Сергеевна</cp:lastModifiedBy>
  <cp:revision>2</cp:revision>
  <cp:lastPrinted>2020-02-25T13:48:00Z</cp:lastPrinted>
  <dcterms:created xsi:type="dcterms:W3CDTF">2021-10-18T11:14:00Z</dcterms:created>
  <dcterms:modified xsi:type="dcterms:W3CDTF">2021-10-18T11:14:00Z</dcterms:modified>
</cp:coreProperties>
</file>