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281" w:rsidRPr="00524ABA" w:rsidRDefault="00087281" w:rsidP="00087281">
      <w:pPr>
        <w:jc w:val="right"/>
        <w:rPr>
          <w:rFonts w:ascii="Verdana" w:hAnsi="Verdana"/>
          <w:sz w:val="20"/>
          <w:szCs w:val="20"/>
        </w:rPr>
      </w:pPr>
      <w:bookmarkStart w:id="0" w:name="_GoBack"/>
      <w:bookmarkEnd w:id="0"/>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r w:rsidRPr="000F330D">
        <w:rPr>
          <w:rFonts w:ascii="Verdana" w:hAnsi="Verdana"/>
          <w:sz w:val="20"/>
          <w:szCs w:val="20"/>
        </w:rPr>
        <w:t xml:space="preserve"> от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1"/>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2" w:name="_Toc172097316"/>
      <w:r w:rsidRPr="000F330D">
        <w:rPr>
          <w:rFonts w:ascii="Arial" w:hAnsi="Arial" w:cs="Arial"/>
          <w:b/>
          <w:i/>
          <w:sz w:val="20"/>
          <w:szCs w:val="20"/>
        </w:rPr>
        <w:t>НЕСЧАСТНЫЙ СЛУЧАЙ НА ПРОИЗВОДСТВЕ</w:t>
      </w:r>
      <w:bookmarkEnd w:id="2"/>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w:t>
      </w:r>
      <w:r>
        <w:lastRenderedPageBreak/>
        <w:t xml:space="preserve">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3" w:name="_Toc172097317"/>
      <w:r w:rsidRPr="000F330D">
        <w:rPr>
          <w:rFonts w:ascii="Arial" w:hAnsi="Arial" w:cs="Arial"/>
          <w:b/>
          <w:bCs/>
          <w:i/>
          <w:sz w:val="20"/>
          <w:szCs w:val="20"/>
        </w:rPr>
        <w:t>ПРОФЕССИОНАЛЬНОЕ ЗАБОЛЕВАНИЕ</w:t>
      </w:r>
      <w:bookmarkEnd w:id="3"/>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
    <w:p w:rsidR="00081BBC" w:rsidRPr="00525F45" w:rsidRDefault="00081BBC" w:rsidP="00081BBC">
      <w:pPr>
        <w:jc w:val="both"/>
        <w:rPr>
          <w:bCs/>
        </w:rPr>
      </w:pPr>
    </w:p>
    <w:p w:rsidR="00081BBC" w:rsidRDefault="00081BBC" w:rsidP="00081BBC">
      <w:pPr>
        <w:jc w:val="both"/>
      </w:pPr>
      <w:bookmarkStart w:id="4" w:name="_Toc172097318"/>
      <w:r w:rsidRPr="000F330D">
        <w:rPr>
          <w:rFonts w:ascii="Arial" w:hAnsi="Arial" w:cs="Arial"/>
          <w:b/>
          <w:i/>
          <w:sz w:val="20"/>
          <w:szCs w:val="20"/>
        </w:rPr>
        <w:t>АВАРИЯ</w:t>
      </w:r>
      <w:bookmarkEnd w:id="4"/>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5" w:name="_Toc172097319"/>
      <w:r w:rsidRPr="000F330D">
        <w:rPr>
          <w:rFonts w:ascii="Arial" w:hAnsi="Arial" w:cs="Arial"/>
          <w:b/>
          <w:bCs/>
          <w:i/>
          <w:sz w:val="20"/>
          <w:szCs w:val="20"/>
        </w:rPr>
        <w:t>ИНЦИДЕНТ</w:t>
      </w:r>
      <w:bookmarkEnd w:id="5"/>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работника(ов).</w:t>
      </w:r>
    </w:p>
    <w:p w:rsidR="00081BBC" w:rsidRDefault="00081BBC" w:rsidP="00081BBC">
      <w:pPr>
        <w:jc w:val="both"/>
      </w:pPr>
    </w:p>
    <w:p w:rsidR="00081BBC" w:rsidRPr="000F330D" w:rsidRDefault="00081BBC" w:rsidP="00081BBC">
      <w:pPr>
        <w:jc w:val="both"/>
      </w:pPr>
      <w:bookmarkStart w:id="6" w:name="_Toc172097320"/>
      <w:r w:rsidRPr="000F330D">
        <w:rPr>
          <w:rFonts w:ascii="Arial" w:hAnsi="Arial" w:cs="Arial"/>
          <w:b/>
          <w:i/>
          <w:caps/>
          <w:sz w:val="20"/>
          <w:szCs w:val="20"/>
        </w:rPr>
        <w:t>ОТКАЗ ТЕХНИЧЕСКОГО УСТРОЙСТВА</w:t>
      </w:r>
      <w:bookmarkEnd w:id="6"/>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7" w:name="_Toc172097321"/>
      <w:r w:rsidRPr="000F330D">
        <w:rPr>
          <w:rFonts w:ascii="Arial" w:hAnsi="Arial" w:cs="Arial"/>
          <w:b/>
          <w:bCs/>
          <w:i/>
          <w:caps/>
          <w:sz w:val="20"/>
          <w:szCs w:val="20"/>
        </w:rPr>
        <w:t>ПОВРЕЖДЕНИЕ ТЕХНИЧЕСКИХ УСТРОЙСТВ</w:t>
      </w:r>
      <w:bookmarkEnd w:id="7"/>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8" w:name="_Toc172097322"/>
      <w:r w:rsidRPr="000F330D">
        <w:rPr>
          <w:rFonts w:ascii="Arial" w:hAnsi="Arial" w:cs="Arial"/>
          <w:b/>
          <w:i/>
          <w:caps/>
          <w:sz w:val="20"/>
          <w:szCs w:val="20"/>
        </w:rPr>
        <w:t>ПОЖАР</w:t>
      </w:r>
      <w:bookmarkEnd w:id="8"/>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9" w:name="_Toc172097323"/>
      <w:r w:rsidRPr="000F330D">
        <w:rPr>
          <w:rFonts w:ascii="Arial" w:hAnsi="Arial" w:cs="Arial"/>
          <w:b/>
          <w:bCs/>
          <w:i/>
          <w:caps/>
          <w:sz w:val="20"/>
          <w:szCs w:val="20"/>
        </w:rPr>
        <w:t>ДОРОЖНО-ТРАНСПОРТНОЕ ПРОИСШЕСТВИЕ (ДТП)</w:t>
      </w:r>
      <w:bookmarkEnd w:id="9"/>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w:t>
      </w:r>
      <w:r>
        <w:lastRenderedPageBreak/>
        <w:t>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B36630">
          <w:footerReference w:type="default" r:id="rId7"/>
          <w:endnotePr>
            <w:numFmt w:val="decimal"/>
          </w:endnotePr>
          <w:pgSz w:w="11906" w:h="16838"/>
          <w:pgMar w:top="673"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10"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10"/>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r w:rsidRPr="000F330D">
        <w:rPr>
          <w:rFonts w:ascii="Arial" w:hAnsi="Arial" w:cs="Arial"/>
          <w:b/>
          <w:i/>
          <w:color w:val="auto"/>
          <w:sz w:val="20"/>
          <w:szCs w:val="20"/>
        </w:rPr>
        <w:t>ДО</w:t>
      </w:r>
      <w:r w:rsidRPr="000F330D">
        <w:rPr>
          <w:rFonts w:ascii="Arial" w:hAnsi="Arial" w:cs="Arial"/>
          <w:color w:val="auto"/>
          <w:sz w:val="20"/>
          <w:szCs w:val="20"/>
        </w:rPr>
        <w:t xml:space="preserve"> </w:t>
      </w:r>
      <w:r w:rsidRPr="000F330D">
        <w:rPr>
          <w:color w:val="auto"/>
        </w:rPr>
        <w:t xml:space="preserve">– дочерние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r w:rsidRPr="006B220E">
        <w:rPr>
          <w:rFonts w:ascii="Arial" w:hAnsi="Arial" w:cs="Arial"/>
          <w:b/>
          <w:i/>
          <w:sz w:val="20"/>
          <w:szCs w:val="20"/>
        </w:rPr>
        <w:t>СИЗ</w:t>
      </w:r>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B36630">
          <w:headerReference w:type="even" r:id="rId8"/>
          <w:headerReference w:type="default" r:id="rId9"/>
          <w:headerReference w:type="first" r:id="rId10"/>
          <w:endnotePr>
            <w:numFmt w:val="decimal"/>
          </w:endnotePr>
          <w:pgSz w:w="11906" w:h="16838"/>
          <w:pgMar w:top="673"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1" w:name="_Toc172097325"/>
      <w:bookmarkStart w:id="12"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1"/>
      <w:bookmarkEnd w:id="12"/>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3" w:name="_Toc172097326"/>
      <w:bookmarkStart w:id="14"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3"/>
      <w:bookmarkEnd w:id="14"/>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 xml:space="preserve">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(предаттестационную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w:t>
      </w:r>
      <w:r w:rsidRPr="00024D3C">
        <w:lastRenderedPageBreak/>
        <w:t>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«Правилами организации и осуществления производственного контроля за</w:t>
      </w:r>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t>О</w:t>
      </w:r>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r w:rsidRPr="00607FC5">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w:t>
      </w:r>
      <w:r w:rsidRPr="00607FC5">
        <w:lastRenderedPageBreak/>
        <w:t>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п 3.2.1.1. данных Требований.</w:t>
      </w:r>
    </w:p>
    <w:p w:rsidR="00087281" w:rsidRDefault="00087281" w:rsidP="00087281">
      <w:pPr>
        <w:jc w:val="both"/>
      </w:pPr>
    </w:p>
    <w:p w:rsidR="00087281" w:rsidRPr="00A45651" w:rsidRDefault="00087281" w:rsidP="00087281">
      <w:pPr>
        <w:jc w:val="both"/>
      </w:pPr>
      <w:r w:rsidRPr="008F52E9">
        <w:t>3.1.26.</w:t>
      </w:r>
      <w:r>
        <w:tab/>
      </w:r>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 xml:space="preserve">(работа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случае не выполнения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w:t>
      </w:r>
      <w:r>
        <w:lastRenderedPageBreak/>
        <w:t>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курить в</w:t>
      </w:r>
      <w:r w:rsidRPr="00607FC5">
        <w:t>не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ников с ПЛА, действия которых определены этими ПЛА и обеспечить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5" w:name="_Toc172097327"/>
      <w:bookmarkStart w:id="16"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5"/>
      <w:bookmarkEnd w:id="16"/>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7" w:name="_Toc105827835"/>
      <w:bookmarkStart w:id="18" w:name="_Toc105829488"/>
      <w:bookmarkStart w:id="19" w:name="_Toc106105744"/>
      <w:bookmarkStart w:id="20" w:name="_Toc106715209"/>
      <w:bookmarkStart w:id="21" w:name="_Toc125284626"/>
      <w:bookmarkStart w:id="22" w:name="_Toc130184868"/>
      <w:bookmarkStart w:id="23" w:name="_Toc161744187"/>
      <w:r w:rsidRPr="00C40A91">
        <w:rPr>
          <w:snapToGrid w:val="0"/>
        </w:rPr>
        <w:t>№ П</w:t>
      </w:r>
      <w:bookmarkEnd w:id="17"/>
      <w:bookmarkEnd w:id="18"/>
      <w:bookmarkEnd w:id="19"/>
      <w:bookmarkEnd w:id="20"/>
      <w:r w:rsidRPr="00C40A91">
        <w:rPr>
          <w:snapToGrid w:val="0"/>
        </w:rPr>
        <w:t>4-0</w:t>
      </w:r>
      <w:bookmarkEnd w:id="21"/>
      <w:r w:rsidRPr="00C40A91">
        <w:rPr>
          <w:snapToGrid w:val="0"/>
        </w:rPr>
        <w:t>5</w:t>
      </w:r>
      <w:bookmarkEnd w:id="22"/>
      <w:bookmarkEnd w:id="23"/>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4" w:name="_Toc108410057"/>
      <w:bookmarkStart w:id="25" w:name="_Toc108427361"/>
      <w:bookmarkStart w:id="26" w:name="_Toc108508150"/>
      <w:bookmarkStart w:id="27" w:name="_Toc108601228"/>
      <w:bookmarkStart w:id="28" w:name="_Toc163272494"/>
      <w:bookmarkStart w:id="29" w:name="_Toc163272575"/>
      <w:bookmarkStart w:id="30" w:name="_Toc166992973"/>
      <w:bookmarkStart w:id="31" w:name="_Toc167171447"/>
      <w:r>
        <w:rPr>
          <w:bCs/>
        </w:rPr>
        <w:t>Стандартом К</w:t>
      </w:r>
      <w:r w:rsidRPr="00C40A91">
        <w:rPr>
          <w:bCs/>
        </w:rPr>
        <w:t xml:space="preserve">омпании </w:t>
      </w:r>
      <w:bookmarkStart w:id="32" w:name="_Toc105574104"/>
      <w:bookmarkStart w:id="33" w:name="_Toc106177342"/>
      <w:bookmarkStart w:id="34" w:name="_Toc107905816"/>
      <w:bookmarkStart w:id="35" w:name="_Toc107912851"/>
      <w:bookmarkStart w:id="36" w:name="_Toc107913881"/>
      <w:bookmarkStart w:id="37" w:name="_Toc108410060"/>
      <w:bookmarkStart w:id="38" w:name="_Toc108427364"/>
      <w:bookmarkStart w:id="39" w:name="_Toc108508153"/>
      <w:bookmarkStart w:id="40" w:name="_Toc108601231"/>
      <w:bookmarkStart w:id="41" w:name="_Toc163272495"/>
      <w:bookmarkStart w:id="42" w:name="_Toc163272576"/>
      <w:bookmarkStart w:id="43" w:name="_Toc166992974"/>
      <w:bookmarkStart w:id="44" w:name="_Toc167171448"/>
      <w:r w:rsidRPr="00C40A91">
        <w:rPr>
          <w:snapToGrid w:val="0"/>
        </w:rPr>
        <w:t>№</w:t>
      </w:r>
      <w:bookmarkEnd w:id="32"/>
      <w:bookmarkEnd w:id="33"/>
      <w:bookmarkEnd w:id="34"/>
      <w:bookmarkEnd w:id="35"/>
      <w:bookmarkEnd w:id="36"/>
      <w:bookmarkEnd w:id="37"/>
      <w:bookmarkEnd w:id="38"/>
      <w:bookmarkEnd w:id="39"/>
      <w:bookmarkEnd w:id="40"/>
      <w:bookmarkEnd w:id="41"/>
      <w:bookmarkEnd w:id="42"/>
      <w:r w:rsidRPr="00C40A91">
        <w:rPr>
          <w:snapToGrid w:val="0"/>
        </w:rPr>
        <w:t>П4-05 С-070</w:t>
      </w:r>
      <w:bookmarkEnd w:id="43"/>
      <w:bookmarkEnd w:id="44"/>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4"/>
      <w:bookmarkEnd w:id="25"/>
      <w:bookmarkEnd w:id="26"/>
      <w:bookmarkEnd w:id="27"/>
      <w:bookmarkEnd w:id="28"/>
      <w:bookmarkEnd w:id="29"/>
      <w:r w:rsidRPr="00C40A91">
        <w:rPr>
          <w:bCs/>
        </w:rPr>
        <w:t xml:space="preserve"> и мониторинга реализации принятых на совещаниях решений</w:t>
      </w:r>
      <w:bookmarkEnd w:id="30"/>
      <w:bookmarkEnd w:id="31"/>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Заказчик не несет ответственность при наступлении случаев травмирования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1"/>
          <w:headerReference w:type="default" r:id="rId12"/>
          <w:headerReference w:type="first" r:id="rId13"/>
          <w:endnotePr>
            <w:numFmt w:val="decimal"/>
          </w:endnotePr>
          <w:pgSz w:w="11906" w:h="16838" w:code="9"/>
          <w:pgMar w:top="1134" w:right="567" w:bottom="1134" w:left="1701" w:header="709" w:footer="709" w:gutter="0"/>
          <w:cols w:space="708"/>
          <w:docGrid w:linePitch="360"/>
        </w:sectPr>
      </w:pPr>
      <w:bookmarkStart w:id="45"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6"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5"/>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6"/>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r w:rsidRPr="001339FA">
        <w:t>по нормативам и правилам в областях промышленной, экологической, энерг</w:t>
      </w:r>
      <w:r>
        <w:t>етической безопасности</w:t>
      </w:r>
      <w:r w:rsidRPr="001339FA">
        <w:t>,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xml:space="preserve">; транспортирование </w:t>
      </w:r>
      <w:r w:rsidRPr="001339FA">
        <w:lastRenderedPageBreak/>
        <w:t>опасных веществ; экспертизу безопасности; подготовку и переподготовку руководителей и сп</w:t>
      </w:r>
      <w:r>
        <w:t>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7" w:name="_Toc187829115"/>
      <w:r w:rsidRPr="00E90D71">
        <w:rPr>
          <w:i w:val="0"/>
          <w:caps/>
          <w:sz w:val="24"/>
        </w:rPr>
        <w:t>4.</w:t>
      </w:r>
      <w:r>
        <w:rPr>
          <w:i w:val="0"/>
          <w:caps/>
          <w:sz w:val="24"/>
        </w:rPr>
        <w:t>2</w:t>
      </w:r>
      <w:r w:rsidRPr="00E90D71">
        <w:rPr>
          <w:i w:val="0"/>
          <w:caps/>
          <w:sz w:val="24"/>
        </w:rPr>
        <w:tab/>
        <w:t>СРЕДСТВА ИНДИВИДУАЛЬНОЙ ЗАЩИТЫ (С</w:t>
      </w:r>
      <w:r>
        <w:rPr>
          <w:i w:val="0"/>
          <w:caps/>
          <w:sz w:val="24"/>
        </w:rPr>
        <w:t>ИЗ)</w:t>
      </w:r>
      <w:bookmarkEnd w:id="47"/>
    </w:p>
    <w:p w:rsidR="00087281" w:rsidRDefault="00087281" w:rsidP="00087281"/>
    <w:p w:rsidR="00087281" w:rsidRDefault="00087281" w:rsidP="00087281">
      <w:pPr>
        <w:jc w:val="both"/>
      </w:pPr>
      <w:r>
        <w:t>4.2.1.</w:t>
      </w:r>
      <w:r>
        <w:tab/>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087281" w:rsidRDefault="00087281" w:rsidP="00087281">
      <w:pPr>
        <w:jc w:val="both"/>
      </w:pPr>
    </w:p>
    <w:p w:rsidR="00087281" w:rsidRDefault="00087281" w:rsidP="00087281">
      <w:pPr>
        <w:jc w:val="both"/>
      </w:pPr>
      <w:r>
        <w:t>4.2.2.</w:t>
      </w:r>
      <w: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8"/>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lastRenderedPageBreak/>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Соблюдение внутриобъектового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9" w:name="_Toc187829117"/>
      <w:r>
        <w:rPr>
          <w:i w:val="0"/>
          <w:caps/>
          <w:sz w:val="24"/>
        </w:rPr>
        <w:t>4.4</w:t>
      </w:r>
      <w:r w:rsidRPr="00E90D71">
        <w:rPr>
          <w:i w:val="0"/>
          <w:caps/>
          <w:sz w:val="24"/>
        </w:rPr>
        <w:tab/>
        <w:t>ТРЕБОВАНИЯ В ОБЛАСТИ ОХРАНЫ ОКРУЖАЮЩЕЙ СРЕДЫ</w:t>
      </w:r>
      <w:bookmarkEnd w:id="49"/>
    </w:p>
    <w:p w:rsidR="00087281" w:rsidRDefault="00087281" w:rsidP="00087281">
      <w:pPr>
        <w:jc w:val="both"/>
      </w:pPr>
    </w:p>
    <w:p w:rsidR="00087281" w:rsidRDefault="00087281" w:rsidP="0008728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r w:rsidRPr="00254D7C">
        <w:lastRenderedPageBreak/>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химреагентов,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r>
        <w:t>сбрасывать вне отведенных мест</w:t>
      </w:r>
      <w:r w:rsidRPr="006959C4">
        <w:t xml:space="preserve"> </w:t>
      </w:r>
      <w:r>
        <w:t>(в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087281" w:rsidRPr="00432F44" w:rsidRDefault="00087281" w:rsidP="00087281">
      <w:pPr>
        <w:numPr>
          <w:ilvl w:val="0"/>
          <w:numId w:val="11"/>
        </w:numPr>
        <w:tabs>
          <w:tab w:val="clear" w:pos="850"/>
          <w:tab w:val="num" w:pos="1080"/>
        </w:tabs>
        <w:spacing w:before="120"/>
        <w:ind w:left="1080" w:hanging="360"/>
        <w:jc w:val="both"/>
      </w:pPr>
      <w:r>
        <w:t>использовать в производстве химреагенты, неукомплектованные следующими документами:</w:t>
      </w:r>
      <w:bookmarkStart w:id="50" w:name="_Toc172965274"/>
      <w:bookmarkStart w:id="51" w:name="_Toc180401917"/>
    </w:p>
    <w:p w:rsidR="00087281" w:rsidRPr="00C069BB" w:rsidRDefault="00087281" w:rsidP="00087281">
      <w:pPr>
        <w:widowControl w:val="0"/>
        <w:numPr>
          <w:ilvl w:val="1"/>
          <w:numId w:val="11"/>
        </w:numPr>
        <w:spacing w:before="120"/>
        <w:ind w:left="1440" w:hanging="360"/>
        <w:jc w:val="both"/>
        <w:outlineLvl w:val="1"/>
        <w:rPr>
          <w:i/>
        </w:rPr>
      </w:pPr>
      <w:bookmarkStart w:id="52" w:name="_Toc172965275"/>
      <w:bookmarkStart w:id="53" w:name="_Toc180401918"/>
      <w:bookmarkStart w:id="54" w:name="_Toc187829118"/>
      <w:bookmarkEnd w:id="50"/>
      <w:bookmarkEnd w:id="51"/>
      <w:r w:rsidRPr="00C069BB">
        <w:rPr>
          <w:i/>
        </w:rPr>
        <w:t>гигиенический сертификат, выданный уполномоче</w:t>
      </w:r>
      <w:r>
        <w:rPr>
          <w:i/>
        </w:rPr>
        <w:t>нным органом</w:t>
      </w:r>
      <w:r w:rsidRPr="00C069BB">
        <w:rPr>
          <w:i/>
        </w:rPr>
        <w:t>;</w:t>
      </w:r>
      <w:bookmarkEnd w:id="52"/>
      <w:bookmarkEnd w:id="53"/>
      <w:bookmarkEnd w:id="54"/>
    </w:p>
    <w:p w:rsidR="00087281" w:rsidRPr="00C069BB" w:rsidRDefault="00087281" w:rsidP="00087281">
      <w:pPr>
        <w:widowControl w:val="0"/>
        <w:numPr>
          <w:ilvl w:val="1"/>
          <w:numId w:val="11"/>
        </w:numPr>
        <w:spacing w:before="120"/>
        <w:ind w:left="1440" w:hanging="360"/>
        <w:jc w:val="both"/>
        <w:outlineLvl w:val="1"/>
        <w:rPr>
          <w:i/>
        </w:rPr>
      </w:pPr>
      <w:bookmarkStart w:id="55" w:name="_Toc180401920"/>
      <w:bookmarkStart w:id="56" w:name="_Toc187829119"/>
      <w:r>
        <w:rPr>
          <w:i/>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55"/>
      <w:bookmarkEnd w:id="56"/>
    </w:p>
    <w:p w:rsidR="00087281" w:rsidRPr="00DB1CC5" w:rsidRDefault="00087281" w:rsidP="00087281">
      <w:pPr>
        <w:numPr>
          <w:ilvl w:val="0"/>
          <w:numId w:val="11"/>
        </w:numPr>
        <w:tabs>
          <w:tab w:val="clear" w:pos="850"/>
          <w:tab w:val="num" w:pos="1080"/>
        </w:tabs>
        <w:spacing w:before="120"/>
        <w:ind w:left="1080" w:hanging="360"/>
        <w:jc w:val="both"/>
      </w:pPr>
      <w:r w:rsidRPr="00DB1CC5">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Подрядчик обязан до начала работ представить Заказчику на каждый используемый химреагент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lastRenderedPageBreak/>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7" w:name="_Toc187829121"/>
      <w:r>
        <w:rPr>
          <w:i w:val="0"/>
          <w:caps/>
          <w:sz w:val="24"/>
        </w:rPr>
        <w:t>4.5</w:t>
      </w:r>
      <w:r w:rsidRPr="001205F0">
        <w:rPr>
          <w:i w:val="0"/>
          <w:caps/>
          <w:sz w:val="24"/>
        </w:rPr>
        <w:tab/>
        <w:t>ДОПОЛНИТЕЛЬНЫЕ ТРЕБОВАНИЯ. АЛКОГОЛЬ И НАРКОТИКИ.</w:t>
      </w:r>
      <w:bookmarkEnd w:id="57"/>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lastRenderedPageBreak/>
        <w:t>4.5.</w:t>
      </w:r>
      <w:r w:rsidR="000E2C1F">
        <w:t>3</w:t>
      </w:r>
      <w:r>
        <w:t>.</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8" w:name="_Toc187829122"/>
      <w:r w:rsidRPr="00C069BB">
        <w:rPr>
          <w:i w:val="0"/>
          <w:caps/>
          <w:sz w:val="24"/>
        </w:rPr>
        <w:t>4.</w:t>
      </w:r>
      <w:r>
        <w:rPr>
          <w:i w:val="0"/>
          <w:caps/>
          <w:sz w:val="24"/>
        </w:rPr>
        <w:t>6</w:t>
      </w:r>
      <w:r w:rsidRPr="00C069BB">
        <w:rPr>
          <w:i w:val="0"/>
          <w:caps/>
          <w:sz w:val="24"/>
        </w:rPr>
        <w:tab/>
        <w:t>ТРЕБОВАНИЯ К ОТЧЕТНОСТИ</w:t>
      </w:r>
      <w:bookmarkEnd w:id="58"/>
    </w:p>
    <w:p w:rsidR="00087281" w:rsidRPr="00C069BB" w:rsidRDefault="00087281" w:rsidP="00087281"/>
    <w:p w:rsidR="00087281" w:rsidRDefault="00087281" w:rsidP="00087281">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9" w:name="_Toc172097330"/>
      <w:bookmarkStart w:id="60" w:name="_Toc172965284"/>
      <w:bookmarkStart w:id="61" w:name="_Toc180401928"/>
      <w:bookmarkStart w:id="62"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9"/>
      <w:bookmarkEnd w:id="60"/>
      <w:bookmarkEnd w:id="61"/>
      <w:bookmarkEnd w:id="62"/>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087281" w:rsidRDefault="00087281" w:rsidP="000F330D"/>
    <w:sectPr w:rsidR="00087281" w:rsidSect="00B36630">
      <w:pgSz w:w="11906" w:h="16838"/>
      <w:pgMar w:top="673" w:right="850" w:bottom="284"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D8E" w:rsidRDefault="00306D8E" w:rsidP="00087281">
      <w:r>
        <w:separator/>
      </w:r>
    </w:p>
  </w:endnote>
  <w:endnote w:type="continuationSeparator" w:id="0">
    <w:p w:rsidR="00306D8E" w:rsidRDefault="00306D8E"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5E0FDE">
          <w:rPr>
            <w:noProof/>
            <w:sz w:val="20"/>
            <w:szCs w:val="20"/>
          </w:rPr>
          <w:t>1</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D8E" w:rsidRDefault="00306D8E" w:rsidP="00087281">
      <w:r>
        <w:separator/>
      </w:r>
    </w:p>
  </w:footnote>
  <w:footnote w:type="continuationSeparator" w:id="0">
    <w:p w:rsidR="00306D8E" w:rsidRDefault="00306D8E"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15:restartNumberingAfterBreak="0">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666FE"/>
    <w:rsid w:val="00081BBC"/>
    <w:rsid w:val="00087281"/>
    <w:rsid w:val="000E2C1F"/>
    <w:rsid w:val="000F330D"/>
    <w:rsid w:val="00306D8E"/>
    <w:rsid w:val="003A32E5"/>
    <w:rsid w:val="00410F5E"/>
    <w:rsid w:val="004779A9"/>
    <w:rsid w:val="00524ABA"/>
    <w:rsid w:val="005525D9"/>
    <w:rsid w:val="005C7258"/>
    <w:rsid w:val="005E0FDE"/>
    <w:rsid w:val="006304DC"/>
    <w:rsid w:val="00656E43"/>
    <w:rsid w:val="0070299D"/>
    <w:rsid w:val="007D4957"/>
    <w:rsid w:val="008438E4"/>
    <w:rsid w:val="00A31BB7"/>
    <w:rsid w:val="00B36630"/>
    <w:rsid w:val="00C534BA"/>
    <w:rsid w:val="00CA4DF8"/>
    <w:rsid w:val="00EE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250A33-6E77-4052-BEFC-7C61DA693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7167</Words>
  <Characters>40857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Давыдов Марк Георгиевич</cp:lastModifiedBy>
  <cp:revision>2</cp:revision>
  <dcterms:created xsi:type="dcterms:W3CDTF">2019-08-23T13:34:00Z</dcterms:created>
  <dcterms:modified xsi:type="dcterms:W3CDTF">2019-08-23T13:34:00Z</dcterms:modified>
</cp:coreProperties>
</file>