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-433362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>лот</w:t>
      </w:r>
      <w:r w:rsidR="00942444" w:rsidRPr="00942444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МДК-</w:t>
      </w:r>
      <w:proofErr w:type="gramStart"/>
      <w:r w:rsidR="00942444">
        <w:rPr>
          <w:rFonts w:ascii="Times New Roman" w:hAnsi="Times New Roman"/>
          <w:b/>
          <w:sz w:val="24"/>
          <w:szCs w:val="24"/>
        </w:rPr>
        <w:t>433362</w:t>
      </w:r>
      <w:r w:rsidR="00942444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В102ОР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A777C7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7"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0C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276962" w:rsidRPr="00276962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942444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МДК-433362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-2006 года</w:t>
            </w: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942444" w:rsidRPr="00942444">
              <w:rPr>
                <w:rFonts w:ascii="Times New Roman" w:hAnsi="Times New Roman"/>
                <w:b/>
                <w:sz w:val="24"/>
                <w:szCs w:val="24"/>
              </w:rPr>
              <w:t>МДК-433362 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CC7843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CC784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777C7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27696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CC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A633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A777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78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777C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77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A777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78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  <w:r w:rsidR="00A777C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76962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3D0C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42444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777C7"/>
    <w:rsid w:val="00A9050E"/>
    <w:rsid w:val="00A93696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C7843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A633B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AFD-6D39-497E-ADEA-433926FB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33</cp:revision>
  <cp:lastPrinted>2019-06-10T10:54:00Z</cp:lastPrinted>
  <dcterms:created xsi:type="dcterms:W3CDTF">2016-07-22T12:29:00Z</dcterms:created>
  <dcterms:modified xsi:type="dcterms:W3CDTF">2022-09-06T11:38:00Z</dcterms:modified>
</cp:coreProperties>
</file>