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520BC4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</w:t>
            </w:r>
            <w:r w:rsidR="006E1248">
              <w:t>у</w:t>
            </w:r>
            <w:r w:rsidR="00623B15">
              <w:t xml:space="preserve"> </w:t>
            </w:r>
            <w:r w:rsidR="009B59AB" w:rsidRPr="009B59AB">
              <w:t xml:space="preserve">№ </w:t>
            </w:r>
            <w:r w:rsidR="009B59AB" w:rsidRPr="00520BC4">
              <w:t>1</w:t>
            </w:r>
            <w:r w:rsidR="00600247" w:rsidRPr="00520BC4">
              <w:t xml:space="preserve"> </w:t>
            </w:r>
            <w:r w:rsidR="00520BC4" w:rsidRPr="00520BC4">
              <w:t>ПАО АНК "Башнефть" ПИК "Розница"</w:t>
            </w:r>
            <w:r w:rsidR="00600247" w:rsidRPr="00520BC4">
              <w:t xml:space="preserve"> </w:t>
            </w:r>
            <w:r w:rsidR="000F6BF0" w:rsidRPr="00520BC4">
              <w:t>и</w:t>
            </w:r>
            <w:r w:rsidR="00D02285" w:rsidRPr="00520BC4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520BC4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  <w:bookmarkStart w:id="0" w:name="_GoBack"/>
                  <w:bookmarkEnd w:id="0"/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5B697B" w:rsidRPr="005B697B">
                    <w:rPr>
                      <w:color w:val="000000"/>
                      <w:szCs w:val="28"/>
                    </w:rPr>
                    <w:t>Иванова Мария Сергеевна</w:t>
                  </w:r>
                </w:p>
                <w:p w:rsidR="00462A2C" w:rsidRPr="00794B7E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Телефон: </w:t>
                  </w:r>
                  <w:r w:rsidR="005B697B" w:rsidRPr="005B697B">
                    <w:rPr>
                      <w:color w:val="000000"/>
                      <w:szCs w:val="28"/>
                    </w:rPr>
                    <w:t>+7(347)269-94-02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 w:rsidR="005B697B">
                    <w:rPr>
                      <w:color w:val="000000"/>
                      <w:szCs w:val="28"/>
                    </w:rPr>
                    <w:t>67-244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="005B697B" w:rsidRPr="005B697B">
                      <w:rPr>
                        <w:rStyle w:val="af3"/>
                        <w:szCs w:val="28"/>
                      </w:rPr>
                      <w:t>IVANOVAMS2</w:t>
                    </w:r>
                    <w:r w:rsidRPr="00794B7E">
                      <w:rPr>
                        <w:rStyle w:val="af3"/>
                        <w:szCs w:val="28"/>
                      </w:rPr>
                      <w:t>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AB2993">
                    <w:rPr>
                      <w:rStyle w:val="af3"/>
                      <w:b/>
                      <w:u w:val="none"/>
                    </w:rPr>
                    <w:t>10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AB2993">
                    <w:rPr>
                      <w:rStyle w:val="af3"/>
                      <w:b/>
                      <w:u w:val="none"/>
                    </w:rPr>
                    <w:t>апреля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AB2993">
                    <w:rPr>
                      <w:rStyle w:val="af3"/>
                      <w:b/>
                      <w:u w:val="none"/>
                    </w:rPr>
                    <w:t>25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C55D48">
                    <w:rPr>
                      <w:rStyle w:val="af3"/>
                      <w:b/>
                      <w:u w:val="none"/>
                    </w:rPr>
                    <w:t>апреля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C55D48">
                    <w:rPr>
                      <w:rStyle w:val="af3"/>
                      <w:b/>
                      <w:u w:val="none"/>
                    </w:rPr>
                    <w:t>г.  до 11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593A-88B8-4953-9BC0-C6A92B00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121</cp:revision>
  <cp:lastPrinted>2016-06-06T09:10:00Z</cp:lastPrinted>
  <dcterms:created xsi:type="dcterms:W3CDTF">2016-06-29T04:13:00Z</dcterms:created>
  <dcterms:modified xsi:type="dcterms:W3CDTF">2023-04-10T11:40:00Z</dcterms:modified>
</cp:coreProperties>
</file>