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  <w:color w:val="000000"/>
        </w:rPr>
      </w:pPr>
      <w:r>
        <w:rPr>
          <w:b/>
          <w:color w:val="000000"/>
        </w:rPr>
        <w:t xml:space="preserve">Приложение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noProof/>
          <w:color w:val="000000"/>
          <w:sz w:val="22"/>
          <w:szCs w:val="22"/>
        </w:rPr>
        <w:t xml:space="preserve">6.1 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>
      <w:pPr>
        <w:jc w:val="right"/>
        <w:rPr>
          <w:color w:val="000000"/>
        </w:rPr>
      </w:pPr>
      <w:r>
        <w:rPr>
          <w:b/>
          <w:color w:val="000000"/>
        </w:rPr>
        <w:t xml:space="preserve">к Договору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_________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</w:rPr>
        <w:t xml:space="preserve">от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>_____._____.202___г</w:t>
      </w:r>
      <w:r>
        <w:rPr>
          <w:b/>
          <w:color w:val="000000"/>
          <w:sz w:val="22"/>
          <w:szCs w:val="22"/>
        </w:rPr>
        <w:fldChar w:fldCharType="end"/>
      </w:r>
      <w:r>
        <w:rPr>
          <w:color w:val="000000"/>
        </w:rPr>
        <w:t xml:space="preserve"> </w:t>
      </w:r>
    </w:p>
    <w:p>
      <w:pPr>
        <w:rPr>
          <w:spacing w:val="-2"/>
        </w:rPr>
      </w:pPr>
    </w:p>
    <w:p>
      <w:pPr>
        <w:rPr>
          <w:sz w:val="22"/>
          <w:szCs w:val="22"/>
        </w:rPr>
      </w:pP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>ООО «Технологический транспорт»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именуемое в дальнейшем ЗАКАЗЧИК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в лице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>Управляющего Зиязетдинова Айдара Фаризуновича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действующего на основании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>доверенности от 21.12.2020г. № РНТ/ГО/101/21</w:t>
      </w:r>
      <w:bookmarkStart w:id="0" w:name="_GoBack"/>
      <w:bookmarkEnd w:id="0"/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с одной стороны, 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       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именуемое в дальнейшем ИСПОЛНИТЕЛЬ, в лице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              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действующего на основании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  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с другой стороны, вместе и по </w:t>
      </w:r>
      <w:proofErr w:type="gramStart"/>
      <w:r>
        <w:rPr>
          <w:sz w:val="22"/>
          <w:szCs w:val="22"/>
        </w:rPr>
        <w:t>отдельности</w:t>
      </w:r>
      <w:proofErr w:type="gramEnd"/>
      <w:r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  от </w:t>
      </w:r>
      <w:r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____</w:t>
      </w:r>
      <w:r>
        <w:rPr>
          <w:noProof/>
          <w:sz w:val="22"/>
          <w:szCs w:val="22"/>
        </w:rPr>
        <w:t>.____.202___г</w:t>
      </w:r>
      <w:r>
        <w:rPr>
          <w:sz w:val="22"/>
          <w:szCs w:val="22"/>
        </w:rPr>
        <w:fldChar w:fldCharType="end"/>
      </w:r>
      <w:bookmarkEnd w:id="1"/>
      <w:r>
        <w:rPr>
          <w:sz w:val="22"/>
          <w:szCs w:val="22"/>
        </w:rPr>
        <w:t xml:space="preserve"> о </w:t>
      </w:r>
      <w:proofErr w:type="gramStart"/>
      <w:r>
        <w:rPr>
          <w:sz w:val="22"/>
          <w:szCs w:val="22"/>
        </w:rPr>
        <w:t>нижеследующем</w:t>
      </w:r>
      <w:proofErr w:type="gramEnd"/>
      <w:r>
        <w:rPr>
          <w:sz w:val="22"/>
          <w:szCs w:val="22"/>
        </w:rPr>
        <w:t>:</w:t>
      </w:r>
    </w:p>
    <w:p>
      <w:pPr>
        <w:spacing w:after="120"/>
        <w:rPr>
          <w:b/>
          <w:caps/>
          <w:sz w:val="22"/>
          <w:szCs w:val="22"/>
        </w:rPr>
      </w:pPr>
    </w:p>
    <w:p>
      <w:pPr>
        <w:spacing w:after="120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штрафы </w:t>
      </w:r>
      <w:r>
        <w:rPr>
          <w:b/>
          <w:caps/>
          <w:sz w:val="24"/>
          <w:szCs w:val="24"/>
        </w:rPr>
        <w:t>за НАРУШЕНИЯ В ОБЛАСТИ ПБОТОС</w:t>
      </w:r>
    </w:p>
    <w:p>
      <w:pPr>
        <w:spacing w:after="120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исполнителем, Субисполнителе</w:t>
      </w:r>
      <w:proofErr w:type="gramStart"/>
      <w:r>
        <w:rPr>
          <w:caps/>
          <w:sz w:val="22"/>
          <w:szCs w:val="22"/>
        </w:rPr>
        <w:t>м(</w:t>
      </w:r>
      <w:proofErr w:type="gramEnd"/>
      <w:r>
        <w:rPr>
          <w:caps/>
          <w:sz w:val="22"/>
          <w:szCs w:val="22"/>
        </w:rPr>
        <w:t>ями), Третьими Лицами,</w:t>
      </w:r>
      <w:r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>
        <w:rPr>
          <w:sz w:val="22"/>
          <w:szCs w:val="22"/>
        </w:rPr>
        <w:t xml:space="preserve"> для оказания УСЛУГ.</w:t>
      </w:r>
    </w:p>
    <w:p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&gt;50 000</w:t>
            </w:r>
          </w:p>
        </w:tc>
      </w:tr>
      <w:tr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>
        <w:trPr>
          <w:trHeight w:val="315"/>
        </w:trPr>
        <w:tc>
          <w:tcPr>
            <w:tcW w:w="624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>
        <w:trPr>
          <w:trHeight w:val="135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trHeight w:val="91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trHeight w:val="115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>
        <w:trPr>
          <w:trHeight w:val="90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>
        <w:trPr>
          <w:trHeight w:val="556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829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100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300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500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750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1250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>
        <w:trPr>
          <w:trHeight w:val="112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>
        <w:trPr>
          <w:trHeight w:val="82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trHeight w:val="127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Инциденты, аварии на объектах энергохозяйства, приведшие к отключению энергопотребителей/ повреждению энергооборудования, происшедшие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>
        <w:trPr>
          <w:trHeight w:val="133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Инциденты, аварии на объектах энергохозяйства, не приведшие к отключению энергопотребителей, повреждению энергооборудования, происшедшие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>
        <w:trPr>
          <w:trHeight w:val="223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 повреждение воздушных линий электропередач и/или подземных линий электропередач, происшедшее по вине Исполнителя (привлеченного им субисполнителя) 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>
        <w:trPr>
          <w:trHeight w:val="202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Исполнителя (привлеченного им субисполнителя) 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>
        <w:trPr>
          <w:trHeight w:val="135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Исполнителя (привлеченного им субисполнителя) 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>
        <w:trPr>
          <w:trHeight w:val="112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Исполнителем (привлеченным им субисполнителем) 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76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>
        <w:trPr>
          <w:trHeight w:val="348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>
        <w:trPr>
          <w:trHeight w:val="632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Привлечение Исполнителем (привлеченным им субисполнителем) 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>
        <w:trPr>
          <w:trHeight w:val="88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работником Исполнителя (привлеченного им субисполнителя) 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за каждое нарушение</w:t>
            </w:r>
          </w:p>
        </w:tc>
      </w:tr>
      <w:tr>
        <w:trPr>
          <w:trHeight w:val="934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ДТП по вине работника Исполнителя (привлеченного им субисполнителя) 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за каждое ДТП</w:t>
            </w:r>
          </w:p>
        </w:tc>
      </w:tr>
      <w:tr>
        <w:trPr>
          <w:trHeight w:val="106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ДТП по вине работника Исполнителя (привлеченного им субисполнителя) 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>
        <w:trPr>
          <w:trHeight w:val="339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>
        <w:trPr>
          <w:trHeight w:val="127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Уничтожение или повреждение объектов дорожного хозяйства (шлагбаумы, дорожные знаки и т.п.), происшедшее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982"/>
        </w:trPr>
        <w:tc>
          <w:tcPr>
            <w:tcW w:w="624" w:type="dxa"/>
            <w:shd w:val="clear" w:color="auto" w:fill="auto"/>
            <w:hideMark/>
          </w:tcPr>
          <w:p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Любое виновное действие (включая ДТП), совершенные работником Исполнителя (привлеченного им субисполнителя) 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 но не более суммы договора</w:t>
            </w:r>
          </w:p>
        </w:tc>
      </w:tr>
      <w:tr>
        <w:trPr>
          <w:trHeight w:val="1275"/>
        </w:trPr>
        <w:tc>
          <w:tcPr>
            <w:tcW w:w="624" w:type="dxa"/>
            <w:shd w:val="clear" w:color="auto" w:fill="auto"/>
            <w:hideMark/>
          </w:tcPr>
          <w:p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виновное действие (включая ДТП), совершенные работником Исполнителя (привлеченного им субисполнителя)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 но не более суммы договора</w:t>
            </w:r>
          </w:p>
        </w:tc>
      </w:tr>
      <w:tr>
        <w:trPr>
          <w:trHeight w:val="76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Любое виновное действие, совершенное работником Исполнителя (привлеченного им субисполнителя), </w:t>
            </w:r>
            <w:proofErr w:type="gramStart"/>
            <w:r>
              <w:rPr>
                <w:sz w:val="22"/>
                <w:szCs w:val="22"/>
              </w:rPr>
              <w:t>повлекшие</w:t>
            </w:r>
            <w:proofErr w:type="gramEnd"/>
            <w:r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 но не более суммы договора</w:t>
            </w:r>
          </w:p>
        </w:tc>
      </w:tr>
      <w:tr>
        <w:trPr>
          <w:trHeight w:val="420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>
        <w:trPr>
          <w:trHeight w:val="204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Исполнителем (привлеченным им субисполнителем)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51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>
              <w:rPr>
                <w:sz w:val="22"/>
                <w:szCs w:val="22"/>
              </w:rPr>
              <w:t>ств в пр</w:t>
            </w:r>
            <w:proofErr w:type="gramEnd"/>
            <w:r>
              <w:rPr>
                <w:sz w:val="22"/>
                <w:szCs w:val="22"/>
              </w:rPr>
              <w:t>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>
        <w:trPr>
          <w:trHeight w:val="204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72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49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Несоблюдение Исполнителем (привлеченным им субисполнителем) 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>
        <w:trPr>
          <w:trHeight w:val="510"/>
        </w:trPr>
        <w:tc>
          <w:tcPr>
            <w:tcW w:w="624" w:type="dxa"/>
            <w:shd w:val="clear" w:color="auto" w:fill="auto"/>
            <w:hideMark/>
          </w:tcPr>
          <w:p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114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153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84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88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Обнаружение у работников Исполнителя (привлеченного им субисполнителя) собак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982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Необеспечение Исполнителем (привлеченным им субисполнителем)  рабочих мест работников:</w:t>
            </w:r>
            <w:r>
              <w:rPr>
                <w:sz w:val="22"/>
                <w:szCs w:val="22"/>
              </w:rPr>
              <w:br/>
              <w:t>– первичными средствами пожаротушения;</w:t>
            </w:r>
            <w:r>
              <w:rPr>
                <w:sz w:val="22"/>
                <w:szCs w:val="22"/>
              </w:rPr>
              <w:br/>
              <w:t>– средствами коллективной защиты;</w:t>
            </w:r>
            <w:r>
              <w:rPr>
                <w:sz w:val="22"/>
                <w:szCs w:val="22"/>
              </w:rPr>
              <w:br/>
              <w:t>– аптечками первой медицинской помощи;</w:t>
            </w:r>
            <w:r>
              <w:rPr>
                <w:sz w:val="22"/>
                <w:szCs w:val="22"/>
              </w:rPr>
              <w:br/>
              <w:t>– заземляющими устройствами;</w:t>
            </w:r>
            <w:r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>
              <w:rPr>
                <w:sz w:val="22"/>
                <w:szCs w:val="22"/>
              </w:rPr>
              <w:t>СИЗ</w:t>
            </w:r>
            <w:proofErr w:type="gramEnd"/>
            <w:r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>
              <w:rPr>
                <w:sz w:val="22"/>
                <w:szCs w:val="22"/>
              </w:rPr>
              <w:lastRenderedPageBreak/>
              <w:t>костюмы защиты от электрической дуги и тд);</w:t>
            </w:r>
            <w:r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859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585"/>
        </w:trPr>
        <w:tc>
          <w:tcPr>
            <w:tcW w:w="624" w:type="dxa"/>
            <w:shd w:val="clear" w:color="auto" w:fill="auto"/>
            <w:hideMark/>
          </w:tcPr>
          <w:p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139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241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Направление/допу</w:t>
            </w:r>
            <w:proofErr w:type="gramStart"/>
            <w:r>
              <w:rPr>
                <w:sz w:val="22"/>
                <w:szCs w:val="22"/>
              </w:rPr>
              <w:t>ск к пр</w:t>
            </w:r>
            <w:proofErr w:type="gramEnd"/>
            <w:r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Исполнителя (привлеченного им субисполнителя)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>
        <w:trPr>
          <w:trHeight w:val="523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>
              <w:rPr>
                <w:sz w:val="22"/>
                <w:szCs w:val="22"/>
              </w:rPr>
              <w:lastRenderedPageBreak/>
              <w:t>запасов и дичи;</w:t>
            </w:r>
            <w:r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307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Сокрытие Исполнителем (привлеченным им субисполнителем) информации о случаях употребления, нахождения на производственных объектах и лицензионных участках Заказчика работников Исполнителя (привлеченного им субисполнителя)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>
        <w:trPr>
          <w:trHeight w:val="348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 Исполнителя (привлеченного им субисполнителя) 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>
        <w:trPr>
          <w:trHeight w:val="151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>
        <w:trPr>
          <w:trHeight w:val="51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76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51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rPr>
          <w:trHeight w:val="102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>
              <w:rPr>
                <w:sz w:val="22"/>
                <w:szCs w:val="22"/>
              </w:rPr>
              <w:t>пропускном</w:t>
            </w:r>
            <w:proofErr w:type="gramEnd"/>
            <w:r>
              <w:rPr>
                <w:sz w:val="22"/>
                <w:szCs w:val="22"/>
              </w:rPr>
              <w:t xml:space="preserve">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204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Совершение работниками Исполнителя (привлеченного им субисполнителя)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>
              <w:rPr>
                <w:sz w:val="22"/>
                <w:szCs w:val="22"/>
              </w:rPr>
              <w:t>образом</w:t>
            </w:r>
            <w:proofErr w:type="gramEnd"/>
            <w:r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315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>
              <w:rPr>
                <w:sz w:val="22"/>
                <w:szCs w:val="22"/>
              </w:rPr>
              <w:t>ств пр</w:t>
            </w:r>
            <w:proofErr w:type="gramEnd"/>
            <w:r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rPr>
          <w:trHeight w:val="270"/>
        </w:trPr>
        <w:tc>
          <w:tcPr>
            <w:tcW w:w="62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Примечания:</w:t>
            </w:r>
          </w:p>
        </w:tc>
      </w:tr>
      <w:tr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установлено нарушение двумя и более работниками Исполнителя (привлеченного им субисполнителя), штраф взыскивается по факту (один факт соответствует нарушению одним работником). </w:t>
            </w:r>
          </w:p>
        </w:tc>
      </w:tr>
      <w:tr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установлено несколько нарушений работниками Исполнителя (привлеченного им субисполнителя) в рамках одного события/происшествия/ДТП, взыскивается сумма штрафов за каждый  факт нарушения).</w:t>
            </w:r>
          </w:p>
        </w:tc>
      </w:tr>
      <w:tr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 По тексту Перечня понятием «работник Исполнителя (привлеченного им субисполнителя)» охватывается перечень лиц, включая лиц, с которыми Исполнитель, контрагент Исполнителя заключил трудовой договор, гражданско-правовой договор, иные лица, которые для Исполнителя/контрагента Исполнителя выполняют </w:t>
            </w:r>
            <w:proofErr w:type="gramStart"/>
            <w:r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 на объектах Заказчика.</w:t>
            </w:r>
          </w:p>
        </w:tc>
      </w:tr>
      <w:tr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исполнитель отвечает за нарушения Субисполнителей,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  <w:r>
              <w:rPr>
                <w:sz w:val="22"/>
                <w:szCs w:val="22"/>
              </w:rPr>
              <w:t xml:space="preserve"> свои собственные.</w:t>
            </w:r>
          </w:p>
        </w:tc>
      </w:tr>
      <w:tr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>
              <w:rPr>
                <w:sz w:val="22"/>
                <w:szCs w:val="22"/>
              </w:rPr>
              <w:t>лица</w:t>
            </w:r>
            <w:proofErr w:type="gramEnd"/>
            <w:r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Исполнителя и/или представителем исполнителем.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br/>
              <w:t>В случае отказа работника Исполнителя 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>
              <w:rPr>
                <w:sz w:val="22"/>
                <w:szCs w:val="22"/>
              </w:rPr>
              <w:t xml:space="preserve"> (-</w:t>
            </w:r>
            <w:proofErr w:type="gramEnd"/>
            <w:r>
              <w:rPr>
                <w:sz w:val="22"/>
                <w:szCs w:val="22"/>
              </w:rPr>
              <w:t>ей). Отказ работника Исполнителя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актом расследования причин происшествия, составленного комиссией по расследованию причин происшествия Заказчика с участием представителей Исполнителя,</w:t>
            </w:r>
          </w:p>
        </w:tc>
      </w:tr>
      <w:tr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В случаях выявления представителями Исполнителя фактов нахождение на производственных объектах и лицензионных участках Заказчика работников Исполнителя (привлеченного им субисполнителя</w:t>
            </w:r>
            <w:proofErr w:type="gramStart"/>
            <w:r>
              <w:rPr>
                <w:sz w:val="22"/>
                <w:szCs w:val="22"/>
              </w:rPr>
              <w:t>)в</w:t>
            </w:r>
            <w:proofErr w:type="gramEnd"/>
            <w:r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Исполнителю не применяются. </w:t>
            </w:r>
          </w:p>
        </w:tc>
      </w:tr>
      <w:tr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В случае неисполнения работниками 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>
              <w:rPr>
                <w:color w:val="000000"/>
                <w:sz w:val="22"/>
                <w:szCs w:val="22"/>
              </w:rPr>
              <w:t>требований действующего законодательства в области ПБОТОС и/или ЛНД Заказчика в области ПБОТОС, а также, если действия работников Исполнителя (привлеченного им субисполнителя) 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Исполнителя (привлеченного им субисполнителя) и наложить на Исполнителя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Нарушение Исполнителем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исполнителя,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>
      <w:pPr>
        <w:ind w:left="705"/>
        <w:rPr>
          <w:sz w:val="22"/>
          <w:szCs w:val="22"/>
        </w:rPr>
      </w:pPr>
    </w:p>
    <w:p>
      <w:pPr>
        <w:ind w:left="70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сторон:</w:t>
      </w:r>
    </w:p>
    <w:p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 ИСПОЛНИТЕЛЯ</w:t>
            </w:r>
          </w:p>
        </w:tc>
      </w:tr>
      <w:t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Управляющий</w:t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ООО "Технологический</w:t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транспорт"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А.Ф. Зиязетдинов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________________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>
      <w:pPr>
        <w:rPr>
          <w:b/>
          <w:bCs/>
          <w:sz w:val="14"/>
          <w:szCs w:val="14"/>
        </w:rPr>
      </w:pPr>
    </w:p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SwvqlCmN156RCHK2XY8e5jfR0S0=" w:salt="yvZvV/DBfPBcg73fdtXDk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Пользователь Windows</cp:lastModifiedBy>
  <cp:revision>9</cp:revision>
  <cp:lastPrinted>2020-02-05T06:19:00Z</cp:lastPrinted>
  <dcterms:created xsi:type="dcterms:W3CDTF">2019-10-07T07:34:00Z</dcterms:created>
  <dcterms:modified xsi:type="dcterms:W3CDTF">2021-01-12T05:15:00Z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NLiII{}IKkNX00002X16Jm</vt:lpwstr>
  </property>
</Properties>
</file>