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F46A1D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F46A1D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F46A1D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F46A1D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9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8F1A4F" w:rsidRPr="00F46A1D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«Раскрывающая сторона» означает для целей каждого случая обмена Конфиденциальной Информацией в соответствии с настоящим Договором/Соглашением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</w:t>
      </w:r>
      <w:r w:rsidRPr="00F46A1D">
        <w:rPr>
          <w:rFonts w:ascii="Times New Roman" w:eastAsia="Calibri" w:hAnsi="Times New Roman"/>
          <w:sz w:val="24"/>
          <w:szCs w:val="24"/>
          <w:lang w:val="ru-RU" w:eastAsia="ru-RU"/>
        </w:rPr>
        <w:t xml:space="preserve">Информацию другой Стороне; </w:t>
      </w:r>
    </w:p>
    <w:p w:rsidR="008F1A4F" w:rsidRPr="00F46A1D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</w:t>
      </w:r>
      <w:r w:rsidRPr="00F46A1D">
        <w:rPr>
          <w:rFonts w:ascii="Times New Roman" w:eastAsia="Calibri" w:hAnsi="Times New Roman"/>
          <w:sz w:val="24"/>
          <w:szCs w:val="24"/>
          <w:lang w:val="ru-RU" w:eastAsia="ru-RU"/>
        </w:rPr>
        <w:t>Информацию от другой Стороны;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 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Договора/Соглашения;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8F1A4F" w:rsidRPr="008F1A4F" w:rsidRDefault="008F1A4F" w:rsidP="008F1A4F">
      <w:pPr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t xml:space="preserve">       2. 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Договора/Соглашения, в целях исполнения обязательств по настоящему Договору/Соглашению,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8F1A4F" w:rsidRPr="008F1A4F" w:rsidRDefault="008F1A4F" w:rsidP="008F1A4F">
      <w:pPr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t xml:space="preserve">          2.1.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2.</w:t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>2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2.</w:t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>3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.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2.</w:t>
      </w:r>
      <w:r>
        <w:rPr>
          <w:rFonts w:ascii="Times New Roman" w:eastAsia="Calibri" w:hAnsi="Times New Roman"/>
          <w:sz w:val="24"/>
          <w:szCs w:val="24"/>
          <w:lang w:val="ru-RU" w:eastAsia="ru-RU"/>
        </w:rPr>
        <w:t>4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.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Договором/Соглашением, не подлежит защите или подлежит защите в меньшей степени, чем предусмотрено настоящим Договором/Соглашением, это не отменяет и не уменьшает обязательств Получающей Стороны по настоящему Договору/Соглашению.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Договору/Соглашению,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4. По требованию Раскрывающей Стороны передача Конфиденциальной Информации оформляется Актом приёма-передачи (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t xml:space="preserve">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Договора/Соглашения.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5. 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6.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Обязательства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Получающей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Стороны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применительно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к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конкретной Конфиденциальной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Информации,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предоставляемой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по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настоящему Договору/Соглашению, действуют до наступления наиболее поздней из следующих дат (применимо при наличии вариативности нижеуказанных условий): 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(1)</w:t>
      </w:r>
      <w:r w:rsidRPr="00430B67">
        <w:rPr>
          <w:rFonts w:ascii="Times New Roman" w:eastAsia="Calibri" w:hAnsi="Times New Roman"/>
          <w:sz w:val="24"/>
          <w:szCs w:val="24"/>
          <w:lang w:eastAsia="ru-RU"/>
        </w:rPr>
        <w:t> </w:t>
      </w: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3 года с даты предоставления соответствующей Конфиденциальной Информации Получающей Стороне (её Представителям);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>(2)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 (пп. 2 применим только для Договоров/Соглашений, по которым предполагаются дальнейшие переговоры)</w:t>
      </w:r>
    </w:p>
    <w:p w:rsidR="008F1A4F" w:rsidRPr="008F1A4F" w:rsidRDefault="008F1A4F" w:rsidP="008F1A4F">
      <w:pPr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           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 в отношении которого Стороны заключили юридически обязывающее соглашение (пп. 3 применим только для Договоров/Соглашений, по которым предполагаются дальнейшие переговоры)</w:t>
      </w:r>
    </w:p>
    <w:p w:rsidR="008F1A4F" w:rsidRPr="008F1A4F" w:rsidRDefault="008F1A4F" w:rsidP="008F1A4F">
      <w:pPr>
        <w:ind w:firstLine="708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8F1A4F">
        <w:rPr>
          <w:rFonts w:ascii="Times New Roman" w:eastAsia="Calibri" w:hAnsi="Times New Roman"/>
          <w:sz w:val="24"/>
          <w:szCs w:val="24"/>
          <w:lang w:val="ru-RU" w:eastAsia="ru-RU"/>
        </w:rPr>
        <w:t xml:space="preserve"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 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3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3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4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4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5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5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D77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"/>
            </w:textInput>
          </w:ffData>
        </w:fldChar>
      </w:r>
      <w:r w:rsidR="00F25D77" w:rsidRPr="00F25D77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="00F25D77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="00F25D77" w:rsidRPr="00F25D77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="00F25D77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="00F25D77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lastRenderedPageBreak/>
        <w:t xml:space="preserve">(далее - ЭТП) адрес в сети интернет </w:t>
      </w:r>
      <w:r w:rsidR="00F25D77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="00F25D77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="00F25D77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="00F25D77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</w:t>
      </w:r>
      <w:r w:rsidR="00F25D77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="00F25D7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"/>
            </w:textInput>
          </w:ffData>
        </w:fldChar>
      </w:r>
      <w:bookmarkStart w:id="6" w:name="ТекстовоеПоле116"/>
      <w:r w:rsidR="00F25D77" w:rsidRPr="00F25D7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25D7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25D77" w:rsidRPr="00F25D7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25D77">
        <w:rPr>
          <w:rFonts w:ascii="Times New Roman" w:hAnsi="Times New Roman" w:cs="Times New Roman"/>
          <w:i/>
          <w:sz w:val="24"/>
          <w:szCs w:val="24"/>
        </w:rPr>
      </w:r>
      <w:r w:rsidR="00F25D7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="00F25D77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="00F25D77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="00F25D77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="00F25D77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="00F25D77" w:rsidRP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</w:t>
      </w:r>
      <w:r w:rsidR="00F25D77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6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законодательством РФ, а также документами, регламентирующими вопросы обеспечения информационной безопасности при работе </w:t>
      </w:r>
      <w:r w:rsidR="00F25D7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"/>
            </w:textInput>
          </w:ffData>
        </w:fldChar>
      </w:r>
      <w:r w:rsidR="00F25D7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25D77">
        <w:rPr>
          <w:rFonts w:ascii="Times New Roman" w:hAnsi="Times New Roman" w:cs="Times New Roman"/>
          <w:i/>
          <w:sz w:val="24"/>
          <w:szCs w:val="24"/>
          <w:lang w:val="ru-RU"/>
        </w:rPr>
      </w:r>
      <w:r w:rsidR="00F25D7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="00F25D7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на ЭТП [для закупок]</w:t>
      </w:r>
      <w:r w:rsidR="00F25D77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 копию ЛНД, электронную копию ЛНД и на носитель с ЛНД, содержащего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1 000"/>
            </w:textInput>
          </w:ffData>
        </w:fldChar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25D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1 000</w:t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F25D77">
        <w:rPr>
          <w:rFonts w:ascii="Times New Roman" w:eastAsia="Calibri" w:hAnsi="Times New Roman" w:cs="Times New Roman"/>
          <w:i/>
          <w:sz w:val="24"/>
          <w:szCs w:val="24"/>
          <w:lang w:val="ru-RU"/>
        </w:rPr>
        <w:t>30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</w:t>
      </w:r>
      <w:r w:rsidR="00F25D77">
        <w:rPr>
          <w:rFonts w:ascii="Times New Roman" w:eastAsia="Calibri" w:hAnsi="Times New Roman" w:cs="Times New Roman"/>
          <w:sz w:val="24"/>
          <w:szCs w:val="24"/>
          <w:lang w:val="ru-RU"/>
        </w:rPr>
        <w:t>ей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7" w:name="_Toc8647027"/>
      <w:bookmarkStart w:id="8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7"/>
      <w:bookmarkEnd w:id="8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9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0" w:name="_Toc99118092"/>
      <w:bookmarkStart w:id="11" w:name="_Toc8647037"/>
      <w:r>
        <w:rPr>
          <w:lang w:val="ru-RU"/>
        </w:rPr>
        <w:t>О предоставлении бухгалтерской отчетности</w:t>
      </w:r>
      <w:bookmarkEnd w:id="10"/>
      <w:bookmarkEnd w:id="11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64546A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64546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112965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b/>
          <w:sz w:val="24"/>
          <w:szCs w:val="24"/>
          <w:lang w:val="ru-RU"/>
        </w:rPr>
        <w:t>Налоговые оговорки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color w:val="000000"/>
          <w:lang w:val="ru-RU"/>
        </w:rPr>
        <w:t xml:space="preserve">1. 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Покупателем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любых налогов, сборов, взносов, которые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Покупателю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3. 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по реализации работ (услуг)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390971">
        <w:rPr>
          <w:rFonts w:ascii="Times New Roman" w:hAnsi="Times New Roman" w:cs="Times New Roman"/>
          <w:sz w:val="24"/>
          <w:szCs w:val="24"/>
        </w:rPr>
        <w:instrText>FORMCHECKBOX</w:instrTex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A3D56">
        <w:rPr>
          <w:rFonts w:ascii="Times New Roman" w:hAnsi="Times New Roman" w:cs="Times New Roman"/>
          <w:sz w:val="24"/>
          <w:szCs w:val="24"/>
        </w:rPr>
      </w:r>
      <w:r w:rsidR="00BA3D56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112965" w:rsidRPr="00112965" w:rsidRDefault="00112965" w:rsidP="00112965">
      <w:pPr>
        <w:jc w:val="both"/>
        <w:rPr>
          <w:rFonts w:ascii="Times New Roman" w:eastAsia="Calibri" w:hAnsi="Times New Roman" w:cs="Times New Roman"/>
          <w:i/>
          <w:noProof/>
          <w:sz w:val="24"/>
          <w:highlight w:val="darkGray"/>
          <w:lang w:val="ru-RU"/>
        </w:rPr>
      </w:pP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ТекстовоеПоле4"/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3.1.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изготовителем / производителем поставляемых материалов (оборудования), </w:t>
      </w:r>
      <w:bookmarkEnd w:id="12"/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либо уполномоченным представителем (дистрибьютором, дилером, импортером и т.п.) такого изготовителя / производителя, либо закупает (импортирует) поставляемые материалы (оборудование), преследуя законную деловую цель совершения 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lastRenderedPageBreak/>
        <w:t>сделки приобретения для дальнейшей продажи.</w:t>
      </w: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390971">
        <w:rPr>
          <w:rFonts w:ascii="Times New Roman" w:hAnsi="Times New Roman" w:cs="Times New Roman"/>
          <w:sz w:val="24"/>
          <w:szCs w:val="24"/>
        </w:rPr>
        <w:instrText>FORMCHECKBOX</w:instrTex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A3D56">
        <w:rPr>
          <w:rFonts w:ascii="Times New Roman" w:hAnsi="Times New Roman" w:cs="Times New Roman"/>
          <w:sz w:val="24"/>
          <w:szCs w:val="24"/>
        </w:rPr>
      </w:r>
      <w:r w:rsidR="00BA3D56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Оговорка применима (применимо, если отмечено крестом) / Х</w:t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112965" w:rsidRPr="00112965" w:rsidRDefault="00112965" w:rsidP="00112965">
      <w:pPr>
        <w:rPr>
          <w:rFonts w:ascii="Arial" w:hAnsi="Arial" w:cs="Arial"/>
          <w:spacing w:val="4"/>
          <w:sz w:val="20"/>
          <w:szCs w:val="20"/>
          <w:lang w:val="ru-RU"/>
        </w:rPr>
      </w:pPr>
    </w:p>
    <w:p w:rsidR="00112965" w:rsidRPr="00112965" w:rsidRDefault="00112965" w:rsidP="00112965">
      <w:pPr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</w:pPr>
      <w:r w:rsidRPr="00112965"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  <w:t>О возмещении имущественных потерь</w:t>
      </w:r>
    </w:p>
    <w:p w:rsidR="00112965" w:rsidRPr="00112965" w:rsidRDefault="00112965" w:rsidP="00112965">
      <w:pPr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</w:pP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Х Оговорка применима (применимо, если отмечено крестом) / </w:t>
      </w:r>
      <w:r w:rsidRPr="0089258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92580">
        <w:rPr>
          <w:rFonts w:ascii="Times New Roman" w:hAnsi="Times New Roman" w:cs="Times New Roman"/>
          <w:sz w:val="24"/>
          <w:szCs w:val="24"/>
        </w:rPr>
        <w:instrText>FORMCHECKBOX</w:instrTex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A3D56">
        <w:rPr>
          <w:rFonts w:ascii="Times New Roman" w:hAnsi="Times New Roman" w:cs="Times New Roman"/>
          <w:sz w:val="24"/>
          <w:szCs w:val="24"/>
        </w:rPr>
      </w:r>
      <w:r w:rsidR="00BA3D56">
        <w:rPr>
          <w:rFonts w:ascii="Times New Roman" w:hAnsi="Times New Roman" w:cs="Times New Roman"/>
          <w:sz w:val="24"/>
          <w:szCs w:val="24"/>
        </w:rPr>
        <w:fldChar w:fldCharType="separate"/>
      </w:r>
      <w:r w:rsidRPr="00892580">
        <w:rPr>
          <w:rFonts w:ascii="Times New Roman" w:hAnsi="Times New Roman" w:cs="Times New Roman"/>
          <w:sz w:val="24"/>
          <w:szCs w:val="24"/>
        </w:rPr>
        <w:fldChar w:fldCharType="end"/>
      </w:r>
      <w:r w:rsidRPr="00892580">
        <w:rPr>
          <w:rFonts w:ascii="Times New Roman" w:hAnsi="Times New Roman" w:cs="Times New Roman"/>
          <w:sz w:val="24"/>
          <w:szCs w:val="24"/>
        </w:rPr>
        <w:t> 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4. Настоящим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порядке ст. 406.1 ГК РФ обязуется возместить имущественные потери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, возникшие при наступлении следующих обстоятельств (не связанных с нарушением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обязательств, предусмотренных настоящим Договором): </w:t>
      </w:r>
    </w:p>
    <w:p w:rsidR="00112965" w:rsidRPr="00112965" w:rsidRDefault="00112965" w:rsidP="00112965">
      <w:pPr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предъявления налоговыми органами требований к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 уплате сумм налогов, пени, штрафов;</w:t>
      </w:r>
    </w:p>
    <w:p w:rsidR="00112965" w:rsidRPr="00112965" w:rsidRDefault="00112965" w:rsidP="00112965">
      <w:pPr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отказа налоговыми органами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вычетах расходов или налоговых вычетах по НДС по итогам налоговых проверок,  по основаниям, связанным с неполнотой, недостоверностью и противоречивостью документов (сведений), полученных от </w:t>
      </w:r>
    </w:p>
    <w:p w:rsidR="00112965" w:rsidRPr="00112965" w:rsidRDefault="00112965" w:rsidP="00112965">
      <w:p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связи с привлечением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Покупателем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возместить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все возникшие у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имущественные потери, вызванные возникновением обстоятельств, перечисленных в пункте 4 настоящей оговорки.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6. Имущественные потери подлежат возмещению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Покупателем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</w:t>
      </w:r>
      <w:r w:rsidRPr="00CC6F9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C6F96">
        <w:rPr>
          <w:rFonts w:ascii="Times New Roman" w:hAnsi="Times New Roman" w:cs="Times New Roman"/>
          <w:sz w:val="24"/>
          <w:szCs w:val="24"/>
        </w:rPr>
        <w:instrText>FORMTEXT</w:instrTex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C6F96">
        <w:rPr>
          <w:rFonts w:ascii="Times New Roman" w:hAnsi="Times New Roman" w:cs="Times New Roman"/>
          <w:sz w:val="24"/>
          <w:szCs w:val="24"/>
        </w:rPr>
      </w:r>
      <w:r w:rsidRPr="00CC6F96">
        <w:rPr>
          <w:rFonts w:ascii="Times New Roman" w:hAnsi="Times New Roman" w:cs="Times New Roman"/>
          <w:sz w:val="24"/>
          <w:szCs w:val="24"/>
        </w:rPr>
        <w:fldChar w:fldCharType="separate"/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10 (десяти)</w:t>
      </w:r>
      <w:r w:rsidRPr="00CC6F96">
        <w:rPr>
          <w:rFonts w:ascii="Times New Roman" w:hAnsi="Times New Roman" w:cs="Times New Roman"/>
          <w:sz w:val="24"/>
          <w:szCs w:val="24"/>
        </w:rPr>
        <w:fldChar w:fldCharType="end"/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рабочих дней с даты получения соответствующего требования от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. К требованию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прилагаются документы, подтверждающие, что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понес имущественные потери, или что имущественные потери с неизбежностью будут понесены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Продавцом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При этом факт оспаривания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Продавцом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соответствующих налоговых претензий в</w:t>
      </w:r>
      <w:r w:rsidRPr="00CC6F96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вышестоящем налоговом органе или в</w:t>
      </w:r>
      <w:r w:rsidRPr="00CC6F96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суде не</w:t>
      </w:r>
      <w:r w:rsidRPr="00CC6F96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влияет на</w:t>
      </w:r>
      <w:r w:rsidRPr="00CC6F96">
        <w:rPr>
          <w:rFonts w:ascii="Times New Roman" w:hAnsi="Times New Roman" w:cs="Times New Roman"/>
          <w:sz w:val="24"/>
          <w:szCs w:val="24"/>
        </w:rPr>
        <w:t>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обязанность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возместить имущественные потери.</w:t>
      </w:r>
      <w:r w:rsidRPr="00112965">
        <w:rPr>
          <w:rFonts w:ascii="Times New Roman" w:hAnsi="Times New Roman" w:cs="Times New Roman"/>
          <w:i/>
          <w:iCs/>
          <w:sz w:val="24"/>
          <w:lang w:val="ru-RU"/>
        </w:rPr>
        <w:t xml:space="preserve"> 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7. Решение о целесообразности / нецелесообразности оспаривания полученных налоговых претензий принимается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Продавцом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 по своему усмотрению.         </w:t>
      </w:r>
    </w:p>
    <w:p w:rsidR="00112965" w:rsidRPr="00112965" w:rsidRDefault="00112965" w:rsidP="00112965">
      <w:pPr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</w:pPr>
      <w:r w:rsidRPr="00112965"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  <w:t>Об исполнении налоговых обязательств по НДС</w:t>
      </w:r>
    </w:p>
    <w:p w:rsidR="00112965" w:rsidRPr="00112965" w:rsidRDefault="00112965" w:rsidP="00112965">
      <w:pPr>
        <w:rPr>
          <w:rFonts w:ascii="Times New Roman" w:hAnsi="Times New Roman" w:cs="Times New Roman"/>
          <w:b/>
          <w:sz w:val="24"/>
          <w:szCs w:val="20"/>
          <w:u w:val="single"/>
          <w:lang w:val="ru-RU"/>
        </w:rPr>
      </w:pPr>
    </w:p>
    <w:p w:rsidR="00112965" w:rsidRPr="00112965" w:rsidRDefault="00112965" w:rsidP="001129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Х Оговорка применима (применимо, если отмечено крестом) / </w:t>
      </w:r>
      <w:r w:rsidRPr="0089258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92580">
        <w:rPr>
          <w:rFonts w:ascii="Times New Roman" w:hAnsi="Times New Roman" w:cs="Times New Roman"/>
          <w:sz w:val="24"/>
          <w:szCs w:val="24"/>
        </w:rPr>
        <w:instrText>FORMCHECKBOX</w:instrTex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A3D56">
        <w:rPr>
          <w:rFonts w:ascii="Times New Roman" w:hAnsi="Times New Roman" w:cs="Times New Roman"/>
          <w:sz w:val="24"/>
          <w:szCs w:val="24"/>
        </w:rPr>
      </w:r>
      <w:r w:rsidR="00BA3D56">
        <w:rPr>
          <w:rFonts w:ascii="Times New Roman" w:hAnsi="Times New Roman" w:cs="Times New Roman"/>
          <w:sz w:val="24"/>
          <w:szCs w:val="24"/>
        </w:rPr>
        <w:fldChar w:fldCharType="separate"/>
      </w:r>
      <w:r w:rsidRPr="00892580">
        <w:rPr>
          <w:rFonts w:ascii="Times New Roman" w:hAnsi="Times New Roman" w:cs="Times New Roman"/>
          <w:sz w:val="24"/>
          <w:szCs w:val="24"/>
        </w:rPr>
        <w:fldChar w:fldCharType="end"/>
      </w:r>
      <w:r w:rsidRPr="00892580">
        <w:rPr>
          <w:rFonts w:ascii="Times New Roman" w:hAnsi="Times New Roman" w:cs="Times New Roman"/>
          <w:sz w:val="24"/>
          <w:szCs w:val="24"/>
        </w:rPr>
        <w:t>  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112965" w:rsidRPr="00112965" w:rsidRDefault="00112965" w:rsidP="00112965">
      <w:pPr>
        <w:rPr>
          <w:rFonts w:ascii="Arial" w:hAnsi="Arial" w:cs="Arial"/>
          <w:spacing w:val="4"/>
          <w:sz w:val="20"/>
          <w:szCs w:val="20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все операции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по реализации работ (услуг) и предъявленный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ом в составе цены (стоимости) работ (услуг) налог на добавленную стоимость (НДС) полностью отражаются или будут отражаться в налоговой отчетности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по НДС (Если применимо). 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9. В случае внесения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Покупателем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исправлений в ранее выставленные в адрес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счета-фактуры (в т.ч. корректировочные счета-фактуры)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оперативно уточнять свои налоговые обязательства по НДС и уведомлять об этом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(Если применимо).</w:t>
      </w:r>
    </w:p>
    <w:p w:rsidR="00112965" w:rsidRPr="00112965" w:rsidRDefault="00112965" w:rsidP="00112965">
      <w:p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предоставлять по запросу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включении </w:t>
      </w:r>
      <w:r>
        <w:rPr>
          <w:rFonts w:ascii="Times New Roman" w:hAnsi="Times New Roman" w:cs="Times New Roman"/>
          <w:sz w:val="24"/>
          <w:szCs w:val="24"/>
          <w:lang w:val="ru-RU"/>
        </w:rPr>
        <w:t>Покупателем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налоговую отчетность по НДС операций по реализации в адрес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 работ (услуг), в том числе выписку из книги продаж за период реализации работ (услуг) в 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течение 10 (десяти) календарных дней со дня получения такого запроса по форме / в формате, указанной (-ом) </w:t>
      </w:r>
      <w:r w:rsidR="006448E4">
        <w:rPr>
          <w:rFonts w:ascii="Times New Roman" w:hAnsi="Times New Roman" w:cs="Times New Roman"/>
          <w:sz w:val="24"/>
          <w:szCs w:val="24"/>
          <w:lang w:val="ru-RU"/>
        </w:rPr>
        <w:t>Продавцом</w:t>
      </w:r>
      <w:r w:rsidRPr="00112965">
        <w:rPr>
          <w:rFonts w:ascii="Times New Roman" w:hAnsi="Times New Roman" w:cs="Times New Roman"/>
          <w:sz w:val="24"/>
          <w:szCs w:val="24"/>
          <w:lang w:val="ru-RU"/>
        </w:rPr>
        <w:t xml:space="preserve"> в запросе (Если применимо).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3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3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E2359E" w:rsidRDefault="00E2359E" w:rsidP="00E2359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</w:t>
      </w:r>
      <w:r w:rsidRPr="00E2359E">
        <w:rPr>
          <w:rFonts w:ascii="Times New Roman" w:hAnsi="Times New Roman"/>
          <w:b/>
          <w:sz w:val="24"/>
          <w:szCs w:val="24"/>
          <w:lang w:val="ru-RU"/>
        </w:rPr>
        <w:t>о углеродному менеджменту</w:t>
      </w: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выбросов парниковых газов.</w:t>
      </w: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359E" w:rsidRPr="00735B36" w:rsidTr="006448E4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6448E4">
              <w:tc>
                <w:tcPr>
                  <w:tcW w:w="5040" w:type="dxa"/>
                </w:tcPr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4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4"/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6448E4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6448E4">
              <w:tc>
                <w:tcPr>
                  <w:tcW w:w="5040" w:type="dxa"/>
                </w:tcPr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5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5"/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6448E4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6448E4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6448E4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6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6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6448E4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6448E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6448E4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6448E4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6448E4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6448E4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6448E4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6448E4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6448E4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Default="002D38AB" w:rsidP="00C1521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15219" w:rsidRDefault="00C15219" w:rsidP="00C1521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15219" w:rsidRDefault="00C15219" w:rsidP="00C1521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15219" w:rsidRDefault="00C15219" w:rsidP="00C1521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15219" w:rsidRPr="00271465" w:rsidRDefault="00C15219" w:rsidP="00C1521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6448E4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15219" w:rsidRPr="00271465" w:rsidRDefault="00C15219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6448E4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6448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6448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6448E4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6448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F46A1D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15219" w:rsidRDefault="00C15219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17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7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18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8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19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0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1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2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0"/>
        <w:gridCol w:w="3589"/>
        <w:gridCol w:w="1740"/>
        <w:gridCol w:w="2008"/>
        <w:gridCol w:w="1704"/>
      </w:tblGrid>
      <w:tr w:rsidR="00CB7E86" w:rsidRPr="00F46A1D" w:rsidTr="000475D2">
        <w:trPr>
          <w:trHeight w:val="278"/>
          <w:tblHeader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425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CB4253" w:rsidRDefault="00CB7E86" w:rsidP="000475D2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Pr="00CB4253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Вид и наименование ЛНД</w: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B7E86" w:rsidRPr="00CB4253" w:rsidRDefault="00CB7E86" w:rsidP="00047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 FORMTEXT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Pr="00CB4253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Номер ЛНД, версия</w: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CB7E86" w:rsidRPr="00CB4253" w:rsidRDefault="00CB7E86" w:rsidP="00047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CB7E86" w:rsidRDefault="00CB7E86" w:rsidP="000475D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CB7E8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instrText>FORMTEXT</w:instrText>
            </w:r>
            <w:r w:rsidRPr="00CB7E8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Pr="00CB7E8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Реквизиты утверждающего и вводящего в действие распорядительного документа</w: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CB7E86" w:rsidRDefault="00CB7E86" w:rsidP="000475D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CB7E8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instrText>FORMTEXT</w:instrText>
            </w:r>
            <w:r w:rsidRPr="00CB7E8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Pr="00CB7E8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Содержит информацию конфиденциального характера (да/нет)</w:t>
            </w:r>
            <w:r w:rsidRPr="00CB4253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</w:tr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B7E86" w:rsidRPr="00D87107" w:rsidRDefault="00CB7E86" w:rsidP="000475D2">
            <w:pPr>
              <w:rPr>
                <w:rFonts w:ascii="Times New Roman" w:hAnsi="Times New Roman"/>
              </w:rPr>
            </w:pPr>
            <w:r w:rsidRPr="00D87107">
              <w:rPr>
                <w:rFonts w:ascii="Times New Roman" w:hAnsi="Times New Roman"/>
              </w:rPr>
              <w:t>№ П3-05 П-11</w:t>
            </w:r>
          </w:p>
          <w:p w:rsidR="00CB7E86" w:rsidRPr="00CB4253" w:rsidRDefault="00CB7E86" w:rsidP="000475D2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87107">
              <w:rPr>
                <w:rFonts w:ascii="Times New Roman" w:hAnsi="Times New Roman"/>
              </w:rPr>
              <w:t>версия 1.00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Приказ АО «НГТ-Энергия» № 299 от 14.12.2018 г.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CB4253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F46A1D" w:rsidRDefault="00CB7E86" w:rsidP="000475D2">
            <w:pPr>
              <w:rPr>
                <w:rFonts w:ascii="Times New Roman" w:hAnsi="Times New Roman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Стандарт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Компании «Интегрированная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система управления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промышленной безопасностью,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охраной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труда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и окружающей среды»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B7E86" w:rsidRPr="00F46A1D" w:rsidRDefault="00CB7E86" w:rsidP="000475D2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№ П3-05 С-0009</w:t>
            </w:r>
          </w:p>
          <w:p w:rsidR="00CB7E86" w:rsidRPr="00F46A1D" w:rsidRDefault="00CB7E86" w:rsidP="000475D2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версия 4.00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F46A1D" w:rsidRDefault="00CB7E86" w:rsidP="000475D2">
            <w:pPr>
              <w:tabs>
                <w:tab w:val="left" w:pos="213"/>
                <w:tab w:val="center" w:pos="1097"/>
              </w:tabs>
              <w:jc w:val="both"/>
              <w:rPr>
                <w:rFonts w:ascii="Times New Roman" w:hAnsi="Times New Roman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Приказ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АО</w:t>
            </w:r>
            <w:r w:rsidRPr="00F46A1D">
              <w:rPr>
                <w:rFonts w:ascii="Times New Roman" w:hAnsi="Times New Roman"/>
                <w:lang w:val="ru-RU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«НГТ-Энергия» № 283 от 07.12.2021 г.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F46A1D" w:rsidRDefault="00F46A1D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/>
                <w:lang w:val="ru-RU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F46A1D" w:rsidRDefault="00F46A1D" w:rsidP="000475D2">
            <w:pPr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Методические Указания Компании «Порядок взаимодействия с подрядными организациями в области промышленной и пожарной безопасности, охраны труда и окружающей среды»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46A1D" w:rsidRPr="00F46A1D" w:rsidRDefault="00CB7E86" w:rsidP="00F46A1D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 xml:space="preserve">№ </w:t>
            </w:r>
            <w:r w:rsidR="00F46A1D" w:rsidRPr="00F46A1D">
              <w:rPr>
                <w:rFonts w:ascii="Times New Roman" w:hAnsi="Times New Roman"/>
                <w:lang w:val="ru-RU"/>
              </w:rPr>
              <w:t>П3-05 Р-0881</w:t>
            </w:r>
          </w:p>
          <w:p w:rsidR="00CB7E86" w:rsidRPr="00F46A1D" w:rsidRDefault="00F46A1D" w:rsidP="00F46A1D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 xml:space="preserve">    версия 2.00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F46A1D" w:rsidRDefault="00F46A1D" w:rsidP="000475D2">
            <w:pPr>
              <w:spacing w:before="120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Приказ АО «НГТ-Энергия» от 24.02.2024 г.  №33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F46A1D" w:rsidRDefault="00F46A1D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/>
                <w:lang w:val="ru-RU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F46A1D" w:rsidRDefault="00F46A1D" w:rsidP="00BA3D56">
            <w:pPr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Методические указания  Компании № П3-05 Р-0778 «Расследования происшествий»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46A1D" w:rsidRPr="00F46A1D" w:rsidRDefault="00F46A1D" w:rsidP="00F46A1D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№ П3-05 Р-0778</w:t>
            </w:r>
          </w:p>
          <w:p w:rsidR="00CB7E86" w:rsidRPr="00F46A1D" w:rsidRDefault="00F46A1D" w:rsidP="00F46A1D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версия 3.00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6A1D" w:rsidRPr="00F46A1D" w:rsidRDefault="00F46A1D" w:rsidP="00F46A1D">
            <w:pPr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Приказ АО «НГТ-Энергия»</w:t>
            </w:r>
          </w:p>
          <w:p w:rsidR="00CB7E86" w:rsidRPr="00CB7E86" w:rsidRDefault="00F46A1D" w:rsidP="00F46A1D">
            <w:pPr>
              <w:tabs>
                <w:tab w:val="left" w:pos="213"/>
                <w:tab w:val="center" w:pos="1097"/>
              </w:tabs>
              <w:jc w:val="center"/>
              <w:rPr>
                <w:rFonts w:ascii="Times New Roman" w:hAnsi="Times New Roman"/>
                <w:lang w:val="ru-RU"/>
              </w:rPr>
            </w:pPr>
            <w:r w:rsidRPr="00F46A1D">
              <w:rPr>
                <w:rFonts w:ascii="Times New Roman" w:hAnsi="Times New Roman"/>
                <w:lang w:val="ru-RU"/>
              </w:rPr>
              <w:t>от 02.08.2023 №159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Pr="00CB4253" w:rsidRDefault="00CB7E86" w:rsidP="00047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B7E86" w:rsidRPr="00D87107" w:rsidRDefault="00CB7E86" w:rsidP="000475D2">
            <w:pPr>
              <w:jc w:val="center"/>
              <w:rPr>
                <w:rFonts w:ascii="Times New Roman" w:hAnsi="Times New Roman"/>
              </w:rPr>
            </w:pPr>
            <w:r w:rsidRPr="00D87107">
              <w:rPr>
                <w:rFonts w:ascii="Times New Roman" w:hAnsi="Times New Roman"/>
              </w:rPr>
              <w:t>№ П3-05 Р-0809</w:t>
            </w:r>
          </w:p>
          <w:p w:rsidR="00CB7E86" w:rsidRPr="00CB4253" w:rsidRDefault="00CB7E86" w:rsidP="000475D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107">
              <w:rPr>
                <w:rFonts w:ascii="Times New Roman" w:hAnsi="Times New Roman"/>
              </w:rPr>
              <w:t>версия 1.00 изм.1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Приказ АО «НГТ-Энергия» от 07.11.2018 г. № 233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Pr="00CB4253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BA3D5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D56" w:rsidRDefault="00BA3D56" w:rsidP="00047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23" w:name="_GoBack" w:colFirst="1" w:colLast="3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3D56" w:rsidRPr="00BA3D56" w:rsidRDefault="00BA3D56" w:rsidP="000475D2">
            <w:pPr>
              <w:rPr>
                <w:rFonts w:ascii="Times New Roman" w:hAnsi="Times New Roman"/>
                <w:lang w:val="ru-RU"/>
              </w:rPr>
            </w:pPr>
            <w:r w:rsidRPr="00BA3D56">
              <w:rPr>
                <w:rFonts w:ascii="Times New Roman" w:hAnsi="Times New Roman"/>
                <w:lang w:val="ru-RU"/>
              </w:rPr>
              <w:t>Положение АО "НГТ-Энергия" "Система управления безопасной эксплуатацией транспортных средств"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BA3D56" w:rsidRPr="00BA3D56" w:rsidRDefault="00BA3D56" w:rsidP="00736F69">
            <w:pPr>
              <w:jc w:val="center"/>
              <w:rPr>
                <w:rFonts w:ascii="Times New Roman" w:hAnsi="Times New Roman"/>
                <w:lang w:val="ru-RU"/>
              </w:rPr>
            </w:pPr>
            <w:r w:rsidRPr="00BA3D56">
              <w:rPr>
                <w:rFonts w:ascii="Times New Roman" w:hAnsi="Times New Roman"/>
                <w:lang w:val="ru-RU"/>
              </w:rPr>
              <w:t>№ П3-05 Р-0853 ЮЛ-270</w:t>
            </w:r>
          </w:p>
          <w:p w:rsidR="00BA3D56" w:rsidRPr="00BA3D56" w:rsidRDefault="00BA3D56" w:rsidP="00736F69">
            <w:pPr>
              <w:jc w:val="center"/>
              <w:rPr>
                <w:rFonts w:ascii="Times New Roman" w:hAnsi="Times New Roman"/>
                <w:lang w:val="ru-RU"/>
              </w:rPr>
            </w:pPr>
            <w:r w:rsidRPr="00BA3D56">
              <w:rPr>
                <w:rFonts w:ascii="Times New Roman" w:hAnsi="Times New Roman"/>
                <w:lang w:val="ru-RU"/>
              </w:rPr>
              <w:t>версия 1.00</w:t>
            </w:r>
          </w:p>
          <w:p w:rsidR="00BA3D56" w:rsidRPr="00BA3D56" w:rsidRDefault="00BA3D56" w:rsidP="00736F69">
            <w:pPr>
              <w:jc w:val="center"/>
              <w:rPr>
                <w:rFonts w:ascii="Times New Roman" w:hAnsi="Times New Roman"/>
                <w:lang w:val="ru-RU"/>
              </w:rPr>
            </w:pPr>
            <w:r w:rsidRPr="00BA3D56">
              <w:rPr>
                <w:rFonts w:ascii="Times New Roman" w:hAnsi="Times New Roman"/>
                <w:lang w:val="ru-RU"/>
              </w:rPr>
              <w:t>изм. 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3D56" w:rsidRPr="00BA3D56" w:rsidRDefault="00BA3D56" w:rsidP="00736F69">
            <w:pPr>
              <w:jc w:val="center"/>
              <w:rPr>
                <w:rFonts w:ascii="Times New Roman" w:hAnsi="Times New Roman"/>
                <w:lang w:val="ru-RU"/>
              </w:rPr>
            </w:pPr>
            <w:r w:rsidRPr="00BA3D56">
              <w:rPr>
                <w:rFonts w:ascii="Times New Roman" w:hAnsi="Times New Roman"/>
                <w:lang w:val="ru-RU"/>
              </w:rPr>
              <w:t>Приказ АО «НГТ-Энергия» от 20.03.2017 г. №69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3D56" w:rsidRDefault="00BA3D5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bookmarkEnd w:id="23"/>
      <w:tr w:rsidR="00CB7E86" w:rsidRPr="00CB4253" w:rsidTr="000475D2">
        <w:trPr>
          <w:trHeight w:val="278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E86" w:rsidRDefault="00CB7E86" w:rsidP="00047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rPr>
                <w:rFonts w:ascii="Times New Roman" w:hAnsi="Times New Roman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>Инструкция Компании «Золотые правила</w:t>
            </w:r>
            <w:r w:rsidRPr="00D87107">
              <w:rPr>
                <w:rFonts w:ascii="Times New Roman" w:hAnsi="Times New Roman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безопасности</w:t>
            </w:r>
            <w:r w:rsidRPr="00D87107">
              <w:rPr>
                <w:rFonts w:ascii="Times New Roman" w:hAnsi="Times New Roman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труда»</w:t>
            </w:r>
            <w:r w:rsidRPr="00D87107">
              <w:rPr>
                <w:rFonts w:ascii="Times New Roman" w:hAnsi="Times New Roman"/>
              </w:rPr>
              <w:t> </w:t>
            </w:r>
            <w:r w:rsidRPr="00CB7E86">
              <w:rPr>
                <w:rFonts w:ascii="Times New Roman" w:hAnsi="Times New Roman"/>
                <w:lang w:val="ru-RU"/>
              </w:rPr>
              <w:t>и порядок их доведения»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B7E86" w:rsidRPr="00D87107" w:rsidRDefault="00CB7E86" w:rsidP="000475D2">
            <w:pPr>
              <w:rPr>
                <w:rFonts w:ascii="Times New Roman" w:hAnsi="Times New Roman"/>
              </w:rPr>
            </w:pPr>
            <w:r w:rsidRPr="00D87107">
              <w:rPr>
                <w:rFonts w:ascii="Times New Roman" w:hAnsi="Times New Roman"/>
              </w:rPr>
              <w:t>№ П3-05 И-0016</w:t>
            </w:r>
          </w:p>
          <w:p w:rsidR="00CB7E86" w:rsidRPr="00A448DE" w:rsidRDefault="00CB7E86" w:rsidP="000475D2">
            <w:pPr>
              <w:jc w:val="center"/>
              <w:rPr>
                <w:rFonts w:ascii="Times New Roman" w:hAnsi="Times New Roman"/>
              </w:rPr>
            </w:pPr>
            <w:r w:rsidRPr="00D87107">
              <w:rPr>
                <w:rFonts w:ascii="Times New Roman" w:hAnsi="Times New Roman"/>
              </w:rPr>
              <w:t>версия 2.00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7E86" w:rsidRPr="00CB7E86" w:rsidRDefault="00CB7E86" w:rsidP="000475D2">
            <w:pPr>
              <w:rPr>
                <w:rFonts w:ascii="Times New Roman" w:hAnsi="Times New Roman"/>
                <w:lang w:val="ru-RU"/>
              </w:rPr>
            </w:pPr>
            <w:r w:rsidRPr="00CB7E86">
              <w:rPr>
                <w:rFonts w:ascii="Times New Roman" w:hAnsi="Times New Roman"/>
                <w:lang w:val="ru-RU"/>
              </w:rPr>
              <w:t xml:space="preserve">Приказ АО «НГТ-Энергия» от </w:t>
            </w:r>
            <w:hyperlink r:id="rId10" w:history="1">
              <w:r w:rsidRPr="00CB7E86">
                <w:rPr>
                  <w:rFonts w:ascii="Times New Roman" w:hAnsi="Times New Roman"/>
                  <w:lang w:val="ru-RU"/>
                </w:rPr>
                <w:t>10.09.2019 г. №204</w:t>
              </w:r>
            </w:hyperlink>
          </w:p>
          <w:p w:rsidR="00CB7E86" w:rsidRPr="00CB7E86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7E86" w:rsidRDefault="00CB7E86" w:rsidP="000475D2">
            <w:pPr>
              <w:tabs>
                <w:tab w:val="left" w:pos="213"/>
                <w:tab w:val="center" w:pos="109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8D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</w:tbl>
    <w:p w:rsidR="00CB7E86" w:rsidRPr="00271465" w:rsidRDefault="00CB7E86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F46A1D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F46A1D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30"/>
        <w:gridCol w:w="2919"/>
        <w:gridCol w:w="1741"/>
        <w:gridCol w:w="2008"/>
        <w:gridCol w:w="2273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46A1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890"/>
        <w:gridCol w:w="1712"/>
        <w:gridCol w:w="1978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46A1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620"/>
        <w:gridCol w:w="1451"/>
        <w:gridCol w:w="1317"/>
        <w:gridCol w:w="2623"/>
      </w:tblGrid>
      <w:tr w:rsidR="00271465" w:rsidRPr="00F46A1D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F46A1D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A1" w:rsidRDefault="002960A1" w:rsidP="000B6615">
      <w:r>
        <w:separator/>
      </w:r>
    </w:p>
  </w:endnote>
  <w:endnote w:type="continuationSeparator" w:id="0">
    <w:p w:rsidR="002960A1" w:rsidRDefault="002960A1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448E4" w:rsidRPr="007A44FA" w:rsidRDefault="006448E4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BA3D56" w:rsidRPr="00BA3D56">
          <w:rPr>
            <w:rFonts w:ascii="Times New Roman" w:hAnsi="Times New Roman" w:cs="Times New Roman"/>
            <w:noProof/>
            <w:sz w:val="24"/>
            <w:lang w:val="ru-RU"/>
          </w:rPr>
          <w:t>26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A1" w:rsidRDefault="002960A1" w:rsidP="000B6615">
      <w:r>
        <w:separator/>
      </w:r>
    </w:p>
  </w:footnote>
  <w:footnote w:type="continuationSeparator" w:id="0">
    <w:p w:rsidR="002960A1" w:rsidRDefault="002960A1" w:rsidP="000B6615">
      <w:r>
        <w:continuationSeparator/>
      </w:r>
    </w:p>
  </w:footnote>
  <w:footnote w:id="1">
    <w:p w:rsidR="006448E4" w:rsidRDefault="006448E4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90E17"/>
    <w:multiLevelType w:val="hybridMultilevel"/>
    <w:tmpl w:val="53AC8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6"/>
  </w:num>
  <w:num w:numId="4">
    <w:abstractNumId w:val="5"/>
  </w:num>
  <w:num w:numId="5">
    <w:abstractNumId w:val="17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8"/>
  </w:num>
  <w:num w:numId="13">
    <w:abstractNumId w:val="7"/>
  </w:num>
  <w:num w:numId="14">
    <w:abstractNumId w:val="34"/>
  </w:num>
  <w:num w:numId="15">
    <w:abstractNumId w:val="1"/>
  </w:num>
  <w:num w:numId="16">
    <w:abstractNumId w:val="38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8"/>
  </w:num>
  <w:num w:numId="30">
    <w:abstractNumId w:val="33"/>
  </w:num>
  <w:num w:numId="31">
    <w:abstractNumId w:val="32"/>
  </w:num>
  <w:num w:numId="32">
    <w:abstractNumId w:val="11"/>
  </w:num>
  <w:num w:numId="33">
    <w:abstractNumId w:val="26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20"/>
    <w:docVar w:name="ndsvid" w:val="1"/>
  </w:docVars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2965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0A1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48E4"/>
    <w:rsid w:val="00645162"/>
    <w:rsid w:val="0064546A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8F1A4F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A3D56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15219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B7E86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25D77"/>
    <w:rsid w:val="00F444AB"/>
    <w:rsid w:val="00F46536"/>
    <w:rsid w:val="00F46A1D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obalt/nob/_layouts/listform.aspx?PageType=4&amp;ListId=%7b691B2B32-3929-41E0-9239-6738C6356A9A%7d&amp;ID=876&amp;RootFolder=*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F25F-F7C0-4D0E-B70A-BB67ED59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11160</Words>
  <Characters>63618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Репина Л.В.</cp:lastModifiedBy>
  <cp:revision>9</cp:revision>
  <dcterms:created xsi:type="dcterms:W3CDTF">2024-03-05T10:17:00Z</dcterms:created>
  <dcterms:modified xsi:type="dcterms:W3CDTF">2024-05-23T08:17:00Z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