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157D6" w14:textId="77777777" w:rsidR="00DB63DB" w:rsidRPr="00B100D0" w:rsidRDefault="002E4458" w:rsidP="00B100D0">
      <w:pPr>
        <w:pStyle w:val="a3"/>
        <w:tabs>
          <w:tab w:val="left" w:pos="540"/>
          <w:tab w:val="left" w:pos="1080"/>
        </w:tabs>
        <w:ind w:left="12333"/>
        <w:jc w:val="right"/>
        <w:rPr>
          <w:b w:val="0"/>
          <w:sz w:val="24"/>
        </w:rPr>
      </w:pPr>
      <w:bookmarkStart w:id="0" w:name="ТекстовоеПоле447"/>
      <w:r w:rsidRPr="00B100D0">
        <w:rPr>
          <w:b w:val="0"/>
          <w:sz w:val="24"/>
        </w:rPr>
        <w:t xml:space="preserve">Приложение </w:t>
      </w:r>
      <w:r w:rsidR="005E7D66" w:rsidRPr="00B100D0">
        <w:rPr>
          <w:rFonts w:eastAsia="MS Mincho"/>
          <w:b w:val="0"/>
          <w:sz w:val="24"/>
        </w:rPr>
        <w:t>6.1</w:t>
      </w:r>
      <w:r w:rsidR="00D84EF5" w:rsidRPr="00B100D0">
        <w:rPr>
          <w:b w:val="0"/>
          <w:sz w:val="24"/>
        </w:rPr>
        <w:t xml:space="preserve"> </w:t>
      </w:r>
    </w:p>
    <w:p w14:paraId="5914E228" w14:textId="7D2DA0AF" w:rsidR="00D84EF5" w:rsidRPr="003133BF" w:rsidRDefault="003133BF" w:rsidP="003A005B">
      <w:pPr>
        <w:pStyle w:val="a3"/>
        <w:tabs>
          <w:tab w:val="left" w:pos="540"/>
          <w:tab w:val="left" w:pos="1080"/>
        </w:tabs>
        <w:jc w:val="right"/>
        <w:rPr>
          <w:b w:val="0"/>
          <w:sz w:val="24"/>
        </w:rPr>
      </w:pPr>
      <w:r w:rsidRPr="003133BF">
        <w:rPr>
          <w:b w:val="0"/>
          <w:color w:val="000000"/>
        </w:rPr>
        <w:t xml:space="preserve">к Договору </w:t>
      </w:r>
      <w:r w:rsidR="00D27973">
        <w:rPr>
          <w:b w:val="0"/>
          <w:color w:val="000000"/>
        </w:rPr>
        <w:t>№</w:t>
      </w:r>
      <w:r w:rsidR="003A005B" w:rsidRPr="00706C6A">
        <w:rPr>
          <w:b w:val="0"/>
        </w:rPr>
        <w:fldChar w:fldCharType="begin">
          <w:ffData>
            <w:name w:val="ТекстовоеПоле19"/>
            <w:enabled/>
            <w:calcOnExit w:val="0"/>
            <w:textInput/>
          </w:ffData>
        </w:fldChar>
      </w:r>
      <w:r w:rsidR="003A005B" w:rsidRPr="00706C6A">
        <w:instrText xml:space="preserve"> FORMTEXT </w:instrText>
      </w:r>
      <w:r w:rsidR="003A005B" w:rsidRPr="00706C6A">
        <w:rPr>
          <w:b w:val="0"/>
        </w:rPr>
      </w:r>
      <w:r w:rsidR="003A005B" w:rsidRPr="00706C6A">
        <w:rPr>
          <w:b w:val="0"/>
        </w:rPr>
        <w:fldChar w:fldCharType="separate"/>
      </w:r>
      <w:bookmarkStart w:id="1" w:name="_GoBack"/>
      <w:r w:rsidR="003A005B" w:rsidRPr="00706C6A">
        <w:rPr>
          <w:noProof/>
        </w:rPr>
        <w:t> </w:t>
      </w:r>
      <w:r w:rsidR="003A005B" w:rsidRPr="00706C6A">
        <w:rPr>
          <w:noProof/>
        </w:rPr>
        <w:t> </w:t>
      </w:r>
      <w:r w:rsidR="003A005B" w:rsidRPr="00706C6A">
        <w:rPr>
          <w:noProof/>
        </w:rPr>
        <w:t> </w:t>
      </w:r>
      <w:r w:rsidR="003A005B" w:rsidRPr="00706C6A">
        <w:rPr>
          <w:noProof/>
        </w:rPr>
        <w:t> </w:t>
      </w:r>
      <w:r w:rsidR="003A005B" w:rsidRPr="00706C6A">
        <w:rPr>
          <w:noProof/>
        </w:rPr>
        <w:t> </w:t>
      </w:r>
      <w:bookmarkEnd w:id="1"/>
      <w:r w:rsidR="003A005B" w:rsidRPr="00706C6A">
        <w:rPr>
          <w:b w:val="0"/>
        </w:rPr>
        <w:fldChar w:fldCharType="end"/>
      </w:r>
      <w:r w:rsidR="003A005B">
        <w:rPr>
          <w:b w:val="0"/>
        </w:rPr>
        <w:t xml:space="preserve"> </w:t>
      </w:r>
      <w:r w:rsidRPr="003133BF">
        <w:rPr>
          <w:b w:val="0"/>
          <w:color w:val="000000"/>
        </w:rPr>
        <w:t xml:space="preserve">от </w:t>
      </w:r>
      <w:r w:rsidR="003A005B" w:rsidRPr="00706C6A">
        <w:rPr>
          <w:b w:val="0"/>
        </w:rPr>
        <w:fldChar w:fldCharType="begin">
          <w:ffData>
            <w:name w:val="ТекстовоеПоле19"/>
            <w:enabled/>
            <w:calcOnExit w:val="0"/>
            <w:textInput/>
          </w:ffData>
        </w:fldChar>
      </w:r>
      <w:r w:rsidR="003A005B" w:rsidRPr="00706C6A">
        <w:instrText xml:space="preserve"> FORMTEXT </w:instrText>
      </w:r>
      <w:r w:rsidR="003A005B" w:rsidRPr="00706C6A">
        <w:rPr>
          <w:b w:val="0"/>
        </w:rPr>
      </w:r>
      <w:r w:rsidR="003A005B" w:rsidRPr="00706C6A">
        <w:rPr>
          <w:b w:val="0"/>
        </w:rPr>
        <w:fldChar w:fldCharType="separate"/>
      </w:r>
      <w:r w:rsidR="003A005B" w:rsidRPr="00706C6A">
        <w:rPr>
          <w:noProof/>
        </w:rPr>
        <w:t> </w:t>
      </w:r>
      <w:r w:rsidR="003A005B" w:rsidRPr="00706C6A">
        <w:rPr>
          <w:noProof/>
        </w:rPr>
        <w:t> </w:t>
      </w:r>
      <w:r w:rsidR="003A005B" w:rsidRPr="00706C6A">
        <w:rPr>
          <w:noProof/>
        </w:rPr>
        <w:t> </w:t>
      </w:r>
      <w:r w:rsidR="003A005B" w:rsidRPr="00706C6A">
        <w:rPr>
          <w:noProof/>
        </w:rPr>
        <w:t> </w:t>
      </w:r>
      <w:r w:rsidR="003A005B" w:rsidRPr="00706C6A">
        <w:rPr>
          <w:noProof/>
        </w:rPr>
        <w:t> </w:t>
      </w:r>
      <w:r w:rsidR="003A005B" w:rsidRPr="00706C6A">
        <w:rPr>
          <w:b w:val="0"/>
        </w:rPr>
        <w:fldChar w:fldCharType="end"/>
      </w:r>
    </w:p>
    <w:bookmarkEnd w:id="0"/>
    <w:p w14:paraId="31197B28" w14:textId="5B9EA4C2" w:rsidR="002C56DC" w:rsidRDefault="00EC3CDE" w:rsidP="003133BF">
      <w:pPr>
        <w:keepLines/>
        <w:spacing w:after="160" w:line="240" w:lineRule="exact"/>
        <w:ind w:firstLine="708"/>
        <w:jc w:val="both"/>
        <w:rPr>
          <w:rFonts w:eastAsia="MS Mincho"/>
          <w:lang w:val="ru-RU"/>
        </w:rPr>
      </w:pP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proofErr w:type="gramStart"/>
      <w:r w:rsidRPr="00967929">
        <w:rPr>
          <w:lang w:val="ru-RU"/>
        </w:rPr>
        <w:t>,</w:t>
      </w:r>
      <w:r w:rsidR="005440F4" w:rsidRPr="003A0135">
        <w:rPr>
          <w:lang w:val="ru-RU"/>
        </w:rPr>
        <w:t>именуемое</w:t>
      </w:r>
      <w:proofErr w:type="gramEnd"/>
      <w:r w:rsidR="005440F4" w:rsidRPr="003A0135">
        <w:rPr>
          <w:lang w:val="ru-RU"/>
        </w:rPr>
        <w:t xml:space="preserve"> в дальнейшем </w:t>
      </w:r>
      <w:r w:rsidR="005440F4" w:rsidRPr="003A0135">
        <w:rPr>
          <w:bCs/>
          <w:lang w:val="ru-RU"/>
        </w:rPr>
        <w:t xml:space="preserve">«Продавец», </w:t>
      </w:r>
      <w:r w:rsidRPr="00967929">
        <w:rPr>
          <w:lang w:val="ru-RU"/>
        </w:rPr>
        <w:t xml:space="preserve">в лице </w:t>
      </w: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r w:rsidRPr="00967929">
        <w:rPr>
          <w:lang w:val="ru-RU"/>
        </w:rPr>
        <w:t xml:space="preserve">, действующего на основании </w:t>
      </w: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r w:rsidRPr="003A0135">
        <w:rPr>
          <w:rFonts w:eastAsia="MS Mincho"/>
          <w:lang w:val="ru-RU"/>
        </w:rPr>
        <w:t>,</w:t>
      </w:r>
      <w:r w:rsidR="005440F4" w:rsidRPr="003A0135">
        <w:rPr>
          <w:lang w:val="ru-RU"/>
        </w:rPr>
        <w:t xml:space="preserve"> с одной стороны, и</w:t>
      </w:r>
      <w:r w:rsidR="005E7D66" w:rsidRPr="003A0135">
        <w:rPr>
          <w:rFonts w:eastAsia="MS Mincho"/>
          <w:lang w:val="ru-RU"/>
        </w:rPr>
        <w:t xml:space="preserve"> </w:t>
      </w:r>
    </w:p>
    <w:p w14:paraId="495E5E7A" w14:textId="60B26323" w:rsidR="005B741E" w:rsidRPr="003133BF" w:rsidRDefault="002C56DC" w:rsidP="003133BF">
      <w:pPr>
        <w:keepLines/>
        <w:spacing w:after="160" w:line="240" w:lineRule="exact"/>
        <w:ind w:firstLine="708"/>
        <w:jc w:val="both"/>
        <w:rPr>
          <w:rFonts w:eastAsia="MS Mincho"/>
          <w:lang w:val="ru-RU"/>
        </w:rPr>
      </w:pP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r w:rsidR="00967929" w:rsidRPr="00967929">
        <w:rPr>
          <w:lang w:val="ru-RU"/>
        </w:rPr>
        <w:t xml:space="preserve">, именуемое в дальнейшем Покупатель в </w:t>
      </w:r>
      <w:proofErr w:type="gramStart"/>
      <w:r w:rsidR="00967929" w:rsidRPr="00967929">
        <w:rPr>
          <w:lang w:val="ru-RU"/>
        </w:rPr>
        <w:t xml:space="preserve">лице </w:t>
      </w: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r w:rsidR="00967929" w:rsidRPr="00967929">
        <w:rPr>
          <w:lang w:val="ru-RU"/>
        </w:rPr>
        <w:t>,</w:t>
      </w:r>
      <w:proofErr w:type="gramEnd"/>
      <w:r w:rsidR="00967929" w:rsidRPr="00967929">
        <w:rPr>
          <w:lang w:val="ru-RU"/>
        </w:rPr>
        <w:t xml:space="preserve"> действующего на основании </w:t>
      </w: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r w:rsidR="005E7D66" w:rsidRPr="003A0135">
        <w:rPr>
          <w:rFonts w:eastAsia="MS Mincho"/>
          <w:lang w:val="ru-RU"/>
        </w:rPr>
        <w:t>, с другой стороны, вместе именуемые «Стороны»,</w:t>
      </w:r>
      <w:r w:rsidR="005B741E" w:rsidRPr="003A0135">
        <w:rPr>
          <w:rFonts w:eastAsia="MS Mincho"/>
          <w:lang w:val="ru-RU"/>
        </w:rPr>
        <w:t xml:space="preserve"> заключили настоящее Приложение</w:t>
      </w:r>
      <w:r w:rsidR="005E7D66" w:rsidRPr="003A0135">
        <w:rPr>
          <w:rFonts w:eastAsia="MS Mincho"/>
          <w:lang w:val="ru-RU"/>
        </w:rPr>
        <w:t xml:space="preserve"> </w:t>
      </w:r>
      <w:r w:rsidR="003133BF" w:rsidRPr="003133BF">
        <w:rPr>
          <w:color w:val="000000"/>
          <w:lang w:val="ru-RU"/>
        </w:rPr>
        <w:t xml:space="preserve">к Договору </w:t>
      </w:r>
      <w:r>
        <w:rPr>
          <w:color w:val="000000"/>
          <w:lang w:val="ru-RU"/>
        </w:rPr>
        <w:t>№</w:t>
      </w: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r>
        <w:rPr>
          <w:b/>
          <w:lang w:val="ru-RU"/>
        </w:rPr>
        <w:t xml:space="preserve"> </w:t>
      </w:r>
      <w:r w:rsidRPr="002C56DC">
        <w:rPr>
          <w:lang w:val="ru-RU"/>
        </w:rPr>
        <w:t xml:space="preserve">от </w:t>
      </w:r>
      <w:r w:rsidRPr="00706C6A">
        <w:rPr>
          <w:b/>
        </w:rPr>
        <w:fldChar w:fldCharType="begin">
          <w:ffData>
            <w:name w:val="ТекстовоеПоле19"/>
            <w:enabled/>
            <w:calcOnExit w:val="0"/>
            <w:textInput/>
          </w:ffData>
        </w:fldChar>
      </w:r>
      <w:r w:rsidRPr="002C56DC">
        <w:rPr>
          <w:b/>
          <w:lang w:val="ru-RU"/>
        </w:rPr>
        <w:instrText xml:space="preserve"> </w:instrText>
      </w:r>
      <w:r w:rsidRPr="00706C6A">
        <w:rPr>
          <w:b/>
        </w:rPr>
        <w:instrText>FORMTEXT</w:instrText>
      </w:r>
      <w:r w:rsidRPr="002C56DC">
        <w:rPr>
          <w:b/>
          <w:lang w:val="ru-RU"/>
        </w:rPr>
        <w:instrText xml:space="preserve">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r>
        <w:rPr>
          <w:color w:val="000000"/>
          <w:lang w:val="ru-RU"/>
        </w:rPr>
        <w:t xml:space="preserve"> </w:t>
      </w:r>
      <w:r w:rsidR="005B741E" w:rsidRPr="003A0135">
        <w:rPr>
          <w:rFonts w:eastAsia="MS Mincho"/>
          <w:lang w:val="ru-RU"/>
        </w:rPr>
        <w:t>о нижеследующем:</w:t>
      </w:r>
    </w:p>
    <w:p w14:paraId="445B37D3" w14:textId="77777777" w:rsidR="009D53E6" w:rsidRPr="003A0135" w:rsidRDefault="009D53E6" w:rsidP="00AF5C43">
      <w:pPr>
        <w:spacing w:after="120"/>
        <w:ind w:left="567"/>
        <w:jc w:val="center"/>
        <w:rPr>
          <w:caps/>
          <w:lang w:val="ru-RU"/>
        </w:rPr>
      </w:pPr>
    </w:p>
    <w:p w14:paraId="7A797AC2" w14:textId="77777777" w:rsidR="00AF5C43" w:rsidRPr="003A0135" w:rsidRDefault="00775859" w:rsidP="00AF5C43">
      <w:pPr>
        <w:spacing w:after="120"/>
        <w:ind w:left="567"/>
        <w:jc w:val="center"/>
        <w:rPr>
          <w:caps/>
          <w:lang w:val="ru-RU"/>
        </w:rPr>
      </w:pPr>
      <w:r w:rsidRPr="003A0135">
        <w:rPr>
          <w:caps/>
          <w:lang w:val="ru-RU"/>
        </w:rPr>
        <w:t>ШТРАФЫ</w:t>
      </w:r>
      <w:r w:rsidR="00F125EA" w:rsidRPr="003A0135">
        <w:rPr>
          <w:caps/>
          <w:lang w:val="ru-RU"/>
        </w:rPr>
        <w:t xml:space="preserve"> за НАРУШЕНИЯ </w:t>
      </w:r>
      <w:r w:rsidR="004A1DE5" w:rsidRPr="003A0135">
        <w:rPr>
          <w:caps/>
          <w:lang w:val="ru-RU"/>
        </w:rPr>
        <w:t xml:space="preserve">В ОБЛАСТИ </w:t>
      </w:r>
      <w:r w:rsidR="00F125EA" w:rsidRPr="003A0135">
        <w:rPr>
          <w:caps/>
          <w:lang w:val="ru-RU"/>
        </w:rPr>
        <w:t>ПБОТОС</w:t>
      </w:r>
    </w:p>
    <w:p w14:paraId="21674DE7" w14:textId="77777777" w:rsidR="00516083" w:rsidRPr="003A0135" w:rsidRDefault="00516083" w:rsidP="00516083">
      <w:pPr>
        <w:jc w:val="both"/>
        <w:rPr>
          <w:lang w:val="ru-RU"/>
        </w:rPr>
      </w:pPr>
      <w:r w:rsidRPr="003A0135">
        <w:rPr>
          <w:lang w:val="ru-RU"/>
        </w:rPr>
        <w:t>Нижеуказанные штрафы</w:t>
      </w:r>
      <w:r w:rsidR="00F125EA" w:rsidRPr="003A0135">
        <w:rPr>
          <w:lang w:val="ru-RU"/>
        </w:rPr>
        <w:t xml:space="preserve"> </w:t>
      </w:r>
      <w:r w:rsidRPr="003A0135">
        <w:rPr>
          <w:lang w:val="ru-RU"/>
        </w:rPr>
        <w:t>применяются в случае нарушений</w:t>
      </w:r>
      <w:r w:rsidR="003968C5" w:rsidRPr="003A0135">
        <w:rPr>
          <w:lang w:val="ru-RU"/>
        </w:rPr>
        <w:t xml:space="preserve"> в области ПБОТОС</w:t>
      </w:r>
      <w:r w:rsidRPr="003A0135">
        <w:rPr>
          <w:lang w:val="ru-RU"/>
        </w:rPr>
        <w:t xml:space="preserve">, допущенных </w:t>
      </w:r>
      <w:r w:rsidR="00680A15" w:rsidRPr="003A0135">
        <w:rPr>
          <w:rFonts w:eastAsia="MS Mincho"/>
        </w:rPr>
        <w:fldChar w:fldCharType="begin">
          <w:ffData>
            <w:name w:val=""/>
            <w:enabled/>
            <w:calcOnExit w:val="0"/>
            <w:textInput>
              <w:default w:val="ПОДРЯДЧИКОМ, ИСПОЛНИТЕЛЕМ, СУБПОДРЯДЧИКОМ(АМИ), ТРЕТЬИМИ ЛИЦАМИ"/>
            </w:textInput>
          </w:ffData>
        </w:fldChar>
      </w:r>
      <w:r w:rsidR="00611AB8" w:rsidRPr="003A0135">
        <w:rPr>
          <w:rFonts w:eastAsia="MS Mincho"/>
          <w:lang w:val="ru-RU"/>
        </w:rPr>
        <w:instrText xml:space="preserve"> </w:instrText>
      </w:r>
      <w:r w:rsidR="00611AB8" w:rsidRPr="003A0135">
        <w:rPr>
          <w:rFonts w:eastAsia="MS Mincho"/>
        </w:rPr>
        <w:instrText>FORMTEXT</w:instrText>
      </w:r>
      <w:r w:rsidR="00611AB8" w:rsidRPr="003A0135">
        <w:rPr>
          <w:rFonts w:eastAsia="MS Mincho"/>
          <w:lang w:val="ru-RU"/>
        </w:rPr>
        <w:instrText xml:space="preserve"> </w:instrText>
      </w:r>
      <w:r w:rsidR="00680A15" w:rsidRPr="003A0135">
        <w:rPr>
          <w:rFonts w:eastAsia="MS Mincho"/>
        </w:rPr>
      </w:r>
      <w:r w:rsidR="00680A15" w:rsidRPr="003A0135">
        <w:rPr>
          <w:rFonts w:eastAsia="MS Mincho"/>
        </w:rPr>
        <w:fldChar w:fldCharType="separate"/>
      </w:r>
      <w:r w:rsidR="00381D83" w:rsidRPr="003A0135">
        <w:rPr>
          <w:rFonts w:eastAsia="MS Mincho"/>
          <w:noProof/>
          <w:lang w:val="ru-RU"/>
        </w:rPr>
        <w:t>ПОДРЯДЧИКОМ, ИСПОЛНИТЕЛЕМ, СУБПОДРЯДЧИКОМ(АМИ), ТРЕТЬИМИ ЛИЦАМИ</w:t>
      </w:r>
      <w:r w:rsidR="00680A15" w:rsidRPr="003A0135">
        <w:rPr>
          <w:rFonts w:eastAsia="MS Mincho"/>
        </w:rPr>
        <w:fldChar w:fldCharType="end"/>
      </w:r>
      <w:r w:rsidRPr="003A0135">
        <w:rPr>
          <w:caps/>
          <w:lang w:val="ru-RU"/>
        </w:rPr>
        <w:t>,</w:t>
      </w:r>
      <w:r w:rsidRPr="003A0135">
        <w:rPr>
          <w:lang w:val="ru-RU"/>
        </w:rPr>
        <w:t xml:space="preserve"> привлеченными </w:t>
      </w:r>
      <w:r w:rsidR="00680A15" w:rsidRPr="003A0135">
        <w:rPr>
          <w:rFonts w:eastAsia="MS Mincho"/>
        </w:rPr>
        <w:fldChar w:fldCharType="begin">
          <w:ffData>
            <w:name w:val=""/>
            <w:enabled/>
            <w:calcOnExit w:val="0"/>
            <w:textInput>
              <w:default w:val="ПОДРЯДЧИКОМ/ИСПОЛНИТЕЛЕМ"/>
            </w:textInput>
          </w:ffData>
        </w:fldChar>
      </w:r>
      <w:r w:rsidR="00680A15" w:rsidRPr="003A0135">
        <w:rPr>
          <w:rFonts w:eastAsia="MS Mincho"/>
          <w:lang w:val="ru-RU"/>
        </w:rPr>
        <w:instrText xml:space="preserve"> </w:instrText>
      </w:r>
      <w:r w:rsidR="004A1DE5" w:rsidRPr="003A0135">
        <w:rPr>
          <w:rFonts w:eastAsia="MS Mincho"/>
        </w:rPr>
        <w:instrText>FORMTEXT</w:instrText>
      </w:r>
      <w:r w:rsidR="00680A15" w:rsidRPr="003A0135">
        <w:rPr>
          <w:rFonts w:eastAsia="MS Mincho"/>
          <w:lang w:val="ru-RU"/>
        </w:rPr>
        <w:instrText xml:space="preserve"> </w:instrText>
      </w:r>
      <w:r w:rsidR="00680A15" w:rsidRPr="003A0135">
        <w:rPr>
          <w:rFonts w:eastAsia="MS Mincho"/>
        </w:rPr>
      </w:r>
      <w:r w:rsidR="00680A15" w:rsidRPr="003A0135">
        <w:rPr>
          <w:rFonts w:eastAsia="MS Mincho"/>
        </w:rPr>
        <w:fldChar w:fldCharType="separate"/>
      </w:r>
      <w:r w:rsidR="00381D83" w:rsidRPr="003A0135">
        <w:rPr>
          <w:rFonts w:eastAsia="MS Mincho"/>
          <w:noProof/>
          <w:lang w:val="ru-RU"/>
        </w:rPr>
        <w:t>ПОДРЯДЧИКОМ/ИСПОЛНИТЕЛЕМ</w:t>
      </w:r>
      <w:r w:rsidR="00680A15" w:rsidRPr="003A0135">
        <w:rPr>
          <w:rFonts w:eastAsia="MS Mincho"/>
        </w:rPr>
        <w:fldChar w:fldCharType="end"/>
      </w:r>
      <w:r w:rsidRPr="003A0135">
        <w:rPr>
          <w:lang w:val="ru-RU"/>
        </w:rPr>
        <w:t xml:space="preserve"> для выполнения </w:t>
      </w:r>
      <w:r w:rsidR="00680A15" w:rsidRPr="003A0135">
        <w:rPr>
          <w:rFonts w:eastAsia="MS Mincho"/>
        </w:rPr>
        <w:fldChar w:fldCharType="begin">
          <w:ffData>
            <w:name w:val=""/>
            <w:enabled/>
            <w:calcOnExit w:val="0"/>
            <w:textInput>
              <w:default w:val="РАБОТ/УСЛУГ"/>
            </w:textInput>
          </w:ffData>
        </w:fldChar>
      </w:r>
      <w:r w:rsidR="00785A31" w:rsidRPr="003A0135">
        <w:rPr>
          <w:rFonts w:eastAsia="MS Mincho"/>
          <w:lang w:val="ru-RU"/>
        </w:rPr>
        <w:instrText xml:space="preserve"> </w:instrText>
      </w:r>
      <w:r w:rsidR="00785A31" w:rsidRPr="003A0135">
        <w:rPr>
          <w:rFonts w:eastAsia="MS Mincho"/>
        </w:rPr>
        <w:instrText>FORMTEXT</w:instrText>
      </w:r>
      <w:r w:rsidR="00785A31" w:rsidRPr="003A0135">
        <w:rPr>
          <w:rFonts w:eastAsia="MS Mincho"/>
          <w:lang w:val="ru-RU"/>
        </w:rPr>
        <w:instrText xml:space="preserve"> </w:instrText>
      </w:r>
      <w:r w:rsidR="00680A15" w:rsidRPr="003A0135">
        <w:rPr>
          <w:rFonts w:eastAsia="MS Mincho"/>
        </w:rPr>
      </w:r>
      <w:r w:rsidR="00680A15" w:rsidRPr="003A0135">
        <w:rPr>
          <w:rFonts w:eastAsia="MS Mincho"/>
        </w:rPr>
        <w:fldChar w:fldCharType="separate"/>
      </w:r>
      <w:r w:rsidR="00381D83" w:rsidRPr="003A0135">
        <w:rPr>
          <w:rFonts w:eastAsia="MS Mincho"/>
          <w:noProof/>
          <w:lang w:val="ru-RU"/>
        </w:rPr>
        <w:t>РАБОТ/УСЛУГ</w:t>
      </w:r>
      <w:r w:rsidR="00680A15" w:rsidRPr="003A0135">
        <w:rPr>
          <w:rFonts w:eastAsia="MS Mincho"/>
        </w:rPr>
        <w:fldChar w:fldCharType="end"/>
      </w:r>
      <w:r w:rsidRPr="003A0135">
        <w:rPr>
          <w:lang w:val="ru-RU"/>
        </w:rPr>
        <w:t>.</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C0440E"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п.п.</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C0440E"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730DFBF" w:rsidR="00426D79" w:rsidRPr="007041A9" w:rsidRDefault="00426D79" w:rsidP="00F125EA">
            <w:pPr>
              <w:jc w:val="center"/>
              <w:rPr>
                <w:sz w:val="22"/>
                <w:lang w:val="ru-RU"/>
              </w:rPr>
            </w:pPr>
            <w:r w:rsidRPr="007041A9">
              <w:rPr>
                <w:sz w:val="22"/>
                <w:lang w:val="ru-RU"/>
              </w:rPr>
              <w:t xml:space="preserve">Сумма штрафа, взыскиваемого за каждое </w:t>
            </w:r>
            <w:proofErr w:type="gramStart"/>
            <w:r w:rsidRPr="007041A9">
              <w:rPr>
                <w:sz w:val="22"/>
                <w:lang w:val="ru-RU"/>
              </w:rPr>
              <w:t>выявленное  нарушение</w:t>
            </w:r>
            <w:proofErr w:type="gramEnd"/>
            <w:r w:rsidRPr="007041A9">
              <w:rPr>
                <w:sz w:val="22"/>
                <w:lang w:val="ru-RU"/>
              </w:rPr>
              <w:t xml:space="preserve">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74E729BE" w:rsidR="00426D79" w:rsidRPr="00F04B3E" w:rsidRDefault="00426D79" w:rsidP="00F51277">
            <w:pPr>
              <w:rPr>
                <w:color w:val="000000" w:themeColor="text1"/>
                <w:sz w:val="22"/>
                <w:lang w:val="ru-RU" w:bidi="ru-RU"/>
              </w:rPr>
            </w:pPr>
            <w:r w:rsidRPr="00F04B3E">
              <w:rPr>
                <w:color w:val="000000" w:themeColor="text1"/>
                <w:sz w:val="22"/>
                <w:lang w:val="ru-RU" w:bidi="ru-RU"/>
              </w:rPr>
              <w:t xml:space="preserve">Сокрытие и/или несообщение информации о происшествиях (в том числе </w:t>
            </w:r>
            <w:proofErr w:type="gramStart"/>
            <w:r w:rsidRPr="00F04B3E">
              <w:rPr>
                <w:color w:val="000000" w:themeColor="text1"/>
                <w:sz w:val="22"/>
                <w:lang w:val="ru-RU" w:bidi="ru-RU"/>
              </w:rPr>
              <w:t>ДТП)  на</w:t>
            </w:r>
            <w:proofErr w:type="gramEnd"/>
            <w:r w:rsidRPr="00F04B3E">
              <w:rPr>
                <w:color w:val="000000" w:themeColor="text1"/>
                <w:sz w:val="22"/>
                <w:lang w:val="ru-RU" w:bidi="ru-RU"/>
              </w:rPr>
              <w:t xml:space="preserve">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непредоставление/уничтожение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t>3</w:t>
            </w:r>
          </w:p>
        </w:tc>
        <w:tc>
          <w:tcPr>
            <w:tcW w:w="6498" w:type="dxa"/>
            <w:shd w:val="clear" w:color="auto" w:fill="auto"/>
          </w:tcPr>
          <w:p w14:paraId="180A59EA" w14:textId="638588D1" w:rsidR="00426D79" w:rsidRPr="00F04B3E" w:rsidRDefault="00426D79" w:rsidP="00C41D4D">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Pr="00F04B3E">
              <w:rPr>
                <w:color w:val="000000" w:themeColor="text1"/>
                <w:sz w:val="22"/>
                <w:lang w:val="ru-RU" w:bidi="ru-RU"/>
              </w:rPr>
              <w:t xml:space="preserve"> разрешительных документов, согласованных с Заказчиком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4</w:t>
            </w:r>
          </w:p>
        </w:tc>
        <w:tc>
          <w:tcPr>
            <w:tcW w:w="6498" w:type="dxa"/>
            <w:shd w:val="clear" w:color="auto" w:fill="auto"/>
          </w:tcPr>
          <w:p w14:paraId="68ED044D" w14:textId="780EBFB8" w:rsidR="00426D79" w:rsidRPr="00F04B3E" w:rsidRDefault="00426D79" w:rsidP="00BC1725">
            <w:pPr>
              <w:rPr>
                <w:color w:val="000000" w:themeColor="text1"/>
                <w:sz w:val="22"/>
                <w:lang w:val="ru-RU" w:bidi="ru-RU"/>
              </w:rPr>
            </w:pPr>
            <w:r w:rsidRPr="00F04B3E">
              <w:rPr>
                <w:color w:val="000000" w:themeColor="text1"/>
                <w:sz w:val="22"/>
                <w:lang w:val="ru-RU" w:bidi="ru-RU"/>
              </w:rPr>
              <w:t>Привлечение не</w:t>
            </w:r>
            <w:r>
              <w:rPr>
                <w:color w:val="000000" w:themeColor="text1"/>
                <w:sz w:val="22"/>
                <w:lang w:val="ru-RU" w:bidi="ru-RU"/>
              </w:rPr>
              <w:t xml:space="preserve"> </w:t>
            </w:r>
            <w:r w:rsidRPr="00F04B3E">
              <w:rPr>
                <w:color w:val="000000" w:themeColor="text1"/>
                <w:sz w:val="22"/>
                <w:lang w:val="ru-RU" w:bidi="ru-RU"/>
              </w:rPr>
              <w:t>согласованных Заказчиком субподрядчиков (за каждый факт), а также привлечение субподрядчиком других юридических и физических лиц (по типам договоров ИП, ГПХ, фрахт с экипажем) без согласования с Заказчиком.</w:t>
            </w:r>
          </w:p>
        </w:tc>
        <w:tc>
          <w:tcPr>
            <w:tcW w:w="1015" w:type="dxa"/>
            <w:shd w:val="clear" w:color="auto" w:fill="auto"/>
            <w:vAlign w:val="center"/>
          </w:tcPr>
          <w:p w14:paraId="67CAF269" w14:textId="77777777" w:rsidR="00426D79" w:rsidRPr="00F04B3E" w:rsidRDefault="00426D79" w:rsidP="00BC1725">
            <w:pPr>
              <w:jc w:val="center"/>
              <w:rPr>
                <w:color w:val="000000" w:themeColor="text1"/>
                <w:sz w:val="22"/>
              </w:rPr>
            </w:pPr>
            <w:r>
              <w:rPr>
                <w:color w:val="000000" w:themeColor="text1"/>
                <w:sz w:val="22"/>
              </w:rPr>
              <w:t>10</w:t>
            </w:r>
            <w:r w:rsidRPr="00F04B3E">
              <w:rPr>
                <w:color w:val="000000" w:themeColor="text1"/>
                <w:sz w:val="22"/>
              </w:rPr>
              <w:t>0</w:t>
            </w:r>
          </w:p>
        </w:tc>
        <w:tc>
          <w:tcPr>
            <w:tcW w:w="992" w:type="dxa"/>
            <w:shd w:val="clear" w:color="auto" w:fill="auto"/>
            <w:vAlign w:val="center"/>
          </w:tcPr>
          <w:p w14:paraId="6FC28A52" w14:textId="77777777" w:rsidR="00426D79" w:rsidRPr="00F04B3E" w:rsidRDefault="00426D79" w:rsidP="00BC1725">
            <w:pPr>
              <w:jc w:val="center"/>
              <w:rPr>
                <w:color w:val="000000" w:themeColor="text1"/>
                <w:sz w:val="22"/>
                <w:lang w:val="ru-RU"/>
              </w:rPr>
            </w:pPr>
            <w:r>
              <w:rPr>
                <w:color w:val="000000" w:themeColor="text1"/>
                <w:sz w:val="22"/>
              </w:rPr>
              <w:t>20</w:t>
            </w:r>
            <w:r w:rsidRPr="00F04B3E">
              <w:rPr>
                <w:color w:val="000000" w:themeColor="text1"/>
                <w:sz w:val="22"/>
                <w:lang w:val="ru-RU"/>
              </w:rPr>
              <w:t>0</w:t>
            </w:r>
          </w:p>
        </w:tc>
        <w:tc>
          <w:tcPr>
            <w:tcW w:w="1134" w:type="dxa"/>
            <w:shd w:val="clear" w:color="auto" w:fill="auto"/>
            <w:vAlign w:val="center"/>
          </w:tcPr>
          <w:p w14:paraId="15416660" w14:textId="77777777" w:rsidR="00426D79" w:rsidRPr="00F04B3E" w:rsidRDefault="00426D79" w:rsidP="00BC1725">
            <w:pPr>
              <w:jc w:val="center"/>
              <w:rPr>
                <w:color w:val="000000" w:themeColor="text1"/>
                <w:sz w:val="22"/>
                <w:lang w:val="ru-RU"/>
              </w:rPr>
            </w:pPr>
            <w:r>
              <w:rPr>
                <w:color w:val="000000" w:themeColor="text1"/>
                <w:sz w:val="22"/>
              </w:rPr>
              <w:t>40</w:t>
            </w:r>
            <w:r w:rsidRPr="00F04B3E">
              <w:rPr>
                <w:color w:val="000000" w:themeColor="text1"/>
                <w:sz w:val="22"/>
                <w:lang w:val="ru-RU"/>
              </w:rPr>
              <w:t>0</w:t>
            </w:r>
          </w:p>
        </w:tc>
        <w:tc>
          <w:tcPr>
            <w:tcW w:w="1418" w:type="dxa"/>
            <w:gridSpan w:val="2"/>
            <w:shd w:val="clear" w:color="auto" w:fill="auto"/>
            <w:vAlign w:val="center"/>
          </w:tcPr>
          <w:p w14:paraId="09012AA6" w14:textId="77777777" w:rsidR="00426D79" w:rsidRPr="00BA2461" w:rsidRDefault="00426D79" w:rsidP="00BC1725">
            <w:pPr>
              <w:jc w:val="center"/>
              <w:rPr>
                <w:color w:val="000000" w:themeColor="text1"/>
                <w:sz w:val="22"/>
                <w:lang w:val="ru-RU"/>
              </w:rPr>
            </w:pPr>
            <w:r>
              <w:rPr>
                <w:color w:val="000000" w:themeColor="text1"/>
                <w:sz w:val="22"/>
                <w:lang w:val="ru-RU"/>
              </w:rPr>
              <w:t>600</w:t>
            </w:r>
          </w:p>
        </w:tc>
        <w:tc>
          <w:tcPr>
            <w:tcW w:w="1275" w:type="dxa"/>
            <w:shd w:val="clear" w:color="auto" w:fill="auto"/>
            <w:vAlign w:val="center"/>
          </w:tcPr>
          <w:p w14:paraId="0CCDD782" w14:textId="77777777" w:rsidR="00426D79" w:rsidRPr="00BA2461" w:rsidRDefault="00426D79" w:rsidP="00BC1725">
            <w:pPr>
              <w:jc w:val="center"/>
              <w:rPr>
                <w:color w:val="000000" w:themeColor="text1"/>
                <w:sz w:val="22"/>
                <w:lang w:val="ru-RU"/>
              </w:rPr>
            </w:pPr>
            <w:r>
              <w:rPr>
                <w:color w:val="000000" w:themeColor="text1"/>
                <w:sz w:val="22"/>
                <w:lang w:val="ru-RU"/>
              </w:rPr>
              <w:t>800</w:t>
            </w:r>
          </w:p>
        </w:tc>
        <w:tc>
          <w:tcPr>
            <w:tcW w:w="1560" w:type="dxa"/>
            <w:shd w:val="clear" w:color="auto" w:fill="auto"/>
            <w:vAlign w:val="center"/>
          </w:tcPr>
          <w:p w14:paraId="4FD1485A" w14:textId="77777777" w:rsidR="00426D79" w:rsidRPr="00BA2461" w:rsidRDefault="00426D79" w:rsidP="00BC1725">
            <w:pPr>
              <w:jc w:val="center"/>
              <w:rPr>
                <w:color w:val="000000" w:themeColor="text1"/>
                <w:sz w:val="22"/>
                <w:lang w:val="ru-RU"/>
              </w:rPr>
            </w:pPr>
            <w:r>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1BCA3212"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 xml:space="preserve">требований нормативных актов в области промышленной безопасности, охраны труда, охраны окружающей </w:t>
            </w:r>
            <w:proofErr w:type="gramStart"/>
            <w:r w:rsidRPr="00F125EA">
              <w:rPr>
                <w:sz w:val="22"/>
                <w:lang w:val="ru-RU"/>
              </w:rPr>
              <w:t>среды</w:t>
            </w:r>
            <w:r>
              <w:rPr>
                <w:sz w:val="22"/>
                <w:lang w:val="ru-RU"/>
              </w:rPr>
              <w:t xml:space="preserve">, </w:t>
            </w:r>
            <w:r w:rsidRPr="00E86020">
              <w:rPr>
                <w:color w:val="000000" w:themeColor="text1"/>
                <w:sz w:val="22"/>
                <w:lang w:val="ru-RU" w:bidi="ru-RU"/>
              </w:rPr>
              <w:t xml:space="preserve"> </w:t>
            </w:r>
            <w:r>
              <w:rPr>
                <w:sz w:val="22"/>
                <w:lang w:val="ru-RU"/>
              </w:rPr>
              <w:t>БДД</w:t>
            </w:r>
            <w:proofErr w:type="gramEnd"/>
            <w:r>
              <w:rPr>
                <w:sz w:val="22"/>
                <w:lang w:val="ru-RU"/>
              </w:rPr>
              <w:t xml:space="preserve">,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426D79">
        <w:trPr>
          <w:trHeight w:val="2328"/>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3039F5AE"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актов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штрафных санкций</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lastRenderedPageBreak/>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C0440E"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C0440E"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C0440E"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FCCA750" w:rsidR="00426D79" w:rsidRPr="00F04B3E" w:rsidRDefault="00426D79" w:rsidP="002D0B4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proofErr w:type="gramStart"/>
            <w:r w:rsidRPr="00F04B3E">
              <w:rPr>
                <w:color w:val="000000" w:themeColor="text1"/>
                <w:sz w:val="22"/>
                <w:lang w:val="ru-RU" w:bidi="ru-RU"/>
              </w:rPr>
              <w:t xml:space="preserve">нарушение  </w:t>
            </w:r>
            <w:r>
              <w:rPr>
                <w:color w:val="000000" w:themeColor="text1"/>
                <w:sz w:val="22"/>
                <w:lang w:val="ru-RU" w:bidi="ru-RU"/>
              </w:rPr>
              <w:t>Подрядчиком</w:t>
            </w:r>
            <w:proofErr w:type="gramEnd"/>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прекращение энергоснабжения /повреждение энергооборудования,</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отчета(тов),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C0440E" w14:paraId="42369CBC" w14:textId="77777777" w:rsidTr="00426D79">
        <w:trPr>
          <w:trHeight w:val="489"/>
          <w:jc w:val="center"/>
        </w:trPr>
        <w:tc>
          <w:tcPr>
            <w:tcW w:w="14596" w:type="dxa"/>
            <w:gridSpan w:val="9"/>
            <w:shd w:val="clear" w:color="auto" w:fill="auto"/>
            <w:hideMark/>
          </w:tcPr>
          <w:p w14:paraId="0CA4D276" w14:textId="77777777" w:rsidR="00426D79" w:rsidRPr="00E86020" w:rsidRDefault="00426D79" w:rsidP="00FF13A6">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 взыскивается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штрафа, штраф взыскивается по одному основанию, предусматривающему наибольшую санкцию.</w:t>
            </w:r>
          </w:p>
        </w:tc>
      </w:tr>
      <w:tr w:rsidR="00426D79" w:rsidRPr="00C0440E" w14:paraId="5DE84E1F" w14:textId="77777777" w:rsidTr="00426D79">
        <w:trPr>
          <w:trHeight w:val="541"/>
          <w:jc w:val="center"/>
        </w:trPr>
        <w:tc>
          <w:tcPr>
            <w:tcW w:w="14596" w:type="dxa"/>
            <w:gridSpan w:val="9"/>
            <w:shd w:val="clear" w:color="auto" w:fill="auto"/>
            <w:hideMark/>
          </w:tcPr>
          <w:p w14:paraId="4427BB34" w14:textId="0EEA06E3" w:rsidR="00426D79" w:rsidRPr="00E86020" w:rsidRDefault="00426D79" w:rsidP="001349E4">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E86020">
              <w:rPr>
                <w:color w:val="000000" w:themeColor="text1"/>
                <w:sz w:val="22"/>
                <w:lang w:val="ru-RU"/>
              </w:rPr>
              <w:t>В случае, если установлено нарушение двумя и более работниками Подряд</w:t>
            </w:r>
            <w:r>
              <w:rPr>
                <w:color w:val="000000" w:themeColor="text1"/>
                <w:sz w:val="22"/>
                <w:lang w:val="ru-RU"/>
              </w:rPr>
              <w:t>чика</w:t>
            </w:r>
            <w:r w:rsidRPr="00E86020">
              <w:rPr>
                <w:color w:val="000000" w:themeColor="text1"/>
                <w:sz w:val="22"/>
                <w:lang w:val="ru-RU"/>
              </w:rPr>
              <w:t xml:space="preserve">, штраф взыскивается по факту (один факт соответствует нарушению одним работником). </w:t>
            </w:r>
          </w:p>
        </w:tc>
      </w:tr>
      <w:tr w:rsidR="00426D79" w:rsidRPr="00C0440E" w14:paraId="4C0D3316" w14:textId="77777777" w:rsidTr="00426D79">
        <w:trPr>
          <w:trHeight w:val="331"/>
          <w:jc w:val="center"/>
        </w:trPr>
        <w:tc>
          <w:tcPr>
            <w:tcW w:w="14596" w:type="dxa"/>
            <w:gridSpan w:val="9"/>
            <w:shd w:val="clear" w:color="auto" w:fill="auto"/>
            <w:hideMark/>
          </w:tcPr>
          <w:p w14:paraId="3409F6D2" w14:textId="77777777" w:rsidR="00426D79" w:rsidRPr="00E86020" w:rsidRDefault="00426D79" w:rsidP="00FF13A6">
            <w:pPr>
              <w:rPr>
                <w:color w:val="000000" w:themeColor="text1"/>
                <w:sz w:val="22"/>
                <w:lang w:val="ru-RU"/>
              </w:rPr>
            </w:pPr>
            <w:r w:rsidRPr="00E86020">
              <w:rPr>
                <w:color w:val="000000" w:themeColor="text1"/>
                <w:sz w:val="22"/>
                <w:lang w:val="ru-RU"/>
              </w:rPr>
              <w:t>3. Штраф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C0440E" w14:paraId="66A95BDD" w14:textId="77777777" w:rsidTr="00426D79">
        <w:trPr>
          <w:trHeight w:val="683"/>
          <w:jc w:val="center"/>
        </w:trPr>
        <w:tc>
          <w:tcPr>
            <w:tcW w:w="14596" w:type="dxa"/>
            <w:gridSpan w:val="9"/>
            <w:shd w:val="clear" w:color="auto" w:fill="auto"/>
            <w:hideMark/>
          </w:tcPr>
          <w:p w14:paraId="316DB06E" w14:textId="635FFF1D" w:rsidR="00426D79" w:rsidRPr="00962AE3" w:rsidRDefault="00426D79" w:rsidP="00FF13A6">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Перечня понятием </w:t>
            </w:r>
            <w:r>
              <w:rPr>
                <w:color w:val="000000" w:themeColor="text1"/>
                <w:sz w:val="22"/>
                <w:lang w:val="ru-RU"/>
              </w:rPr>
              <w:t>«</w:t>
            </w:r>
            <w:proofErr w:type="gramStart"/>
            <w:r>
              <w:rPr>
                <w:color w:val="000000" w:themeColor="text1"/>
                <w:sz w:val="22"/>
                <w:lang w:val="ru-RU"/>
              </w:rPr>
              <w:t>Подрядчик»/</w:t>
            </w:r>
            <w:proofErr w:type="gramEnd"/>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Подрядчика/контрагента Подрядчика работы  на объектах Заказчика.</w:t>
            </w:r>
          </w:p>
        </w:tc>
      </w:tr>
      <w:tr w:rsidR="00426D79" w:rsidRPr="00C0440E" w14:paraId="4BC3EDB4" w14:textId="77777777" w:rsidTr="00426D79">
        <w:trPr>
          <w:trHeight w:val="553"/>
          <w:jc w:val="center"/>
        </w:trPr>
        <w:tc>
          <w:tcPr>
            <w:tcW w:w="14596" w:type="dxa"/>
            <w:gridSpan w:val="9"/>
            <w:shd w:val="clear" w:color="auto" w:fill="auto"/>
            <w:hideMark/>
          </w:tcPr>
          <w:p w14:paraId="0A360D7F" w14:textId="74CAE81A" w:rsidR="00426D79" w:rsidRPr="00E86020" w:rsidRDefault="00426D79" w:rsidP="007B41F8">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штрафных санкций</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C0440E"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C0440E" w14:paraId="61009AC0" w14:textId="77777777" w:rsidTr="00426D79">
        <w:trPr>
          <w:trHeight w:val="478"/>
          <w:jc w:val="center"/>
        </w:trPr>
        <w:tc>
          <w:tcPr>
            <w:tcW w:w="14596" w:type="dxa"/>
            <w:gridSpan w:val="9"/>
            <w:shd w:val="clear" w:color="auto" w:fill="auto"/>
          </w:tcPr>
          <w:p w14:paraId="22678780" w14:textId="77777777" w:rsidR="00426D79" w:rsidRPr="00F04B3E" w:rsidRDefault="00426D79" w:rsidP="00FF13A6">
            <w:pPr>
              <w:rPr>
                <w:sz w:val="22"/>
                <w:lang w:val="ru-RU"/>
              </w:rPr>
            </w:pPr>
            <w:r w:rsidRPr="00F04B3E">
              <w:rPr>
                <w:sz w:val="22"/>
                <w:lang w:val="ru-RU"/>
              </w:rPr>
              <w:t>7. Установленные выше размеры штрафа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штрафа за ранее допущенные нарушения.</w:t>
            </w:r>
          </w:p>
        </w:tc>
      </w:tr>
      <w:tr w:rsidR="00426D79" w:rsidRPr="00C0440E"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C0440E" w14:paraId="01A38F56" w14:textId="77777777" w:rsidTr="00426D79">
        <w:trPr>
          <w:trHeight w:val="1550"/>
          <w:jc w:val="center"/>
        </w:trPr>
        <w:tc>
          <w:tcPr>
            <w:tcW w:w="14596" w:type="dxa"/>
            <w:gridSpan w:val="9"/>
            <w:shd w:val="clear" w:color="auto" w:fill="auto"/>
            <w:hideMark/>
          </w:tcPr>
          <w:p w14:paraId="70011182" w14:textId="722F611B"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 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C0440E" w14:paraId="4FA7C000" w14:textId="77777777" w:rsidTr="00426D79">
        <w:trPr>
          <w:trHeight w:val="213"/>
          <w:jc w:val="center"/>
        </w:trPr>
        <w:tc>
          <w:tcPr>
            <w:tcW w:w="14596" w:type="dxa"/>
            <w:gridSpan w:val="9"/>
            <w:shd w:val="clear" w:color="auto" w:fill="auto"/>
            <w:hideMark/>
          </w:tcPr>
          <w:p w14:paraId="7ABE8535" w14:textId="77777777" w:rsidR="00426D79" w:rsidRPr="00E86020" w:rsidRDefault="00426D79" w:rsidP="00FF13A6">
            <w:pPr>
              <w:rPr>
                <w:color w:val="000000" w:themeColor="text1"/>
                <w:sz w:val="22"/>
                <w:lang w:val="ru-RU"/>
              </w:rPr>
            </w:pPr>
            <w:r>
              <w:rPr>
                <w:color w:val="000000" w:themeColor="text1"/>
                <w:sz w:val="22"/>
                <w:lang w:val="ru-RU"/>
              </w:rPr>
              <w:lastRenderedPageBreak/>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p>
        </w:tc>
      </w:tr>
      <w:tr w:rsidR="00426D79" w:rsidRPr="00C0440E" w14:paraId="477EE569" w14:textId="77777777" w:rsidTr="00426D79">
        <w:trPr>
          <w:trHeight w:val="814"/>
          <w:jc w:val="center"/>
        </w:trPr>
        <w:tc>
          <w:tcPr>
            <w:tcW w:w="14596" w:type="dxa"/>
            <w:gridSpan w:val="9"/>
            <w:shd w:val="clear" w:color="auto" w:fill="auto"/>
            <w:hideMark/>
          </w:tcPr>
          <w:p w14:paraId="717DAA78" w14:textId="4D11E1F9" w:rsidR="00426D79" w:rsidRPr="00E86020" w:rsidRDefault="00426D79" w:rsidP="00DE0D35">
            <w:pPr>
              <w:rPr>
                <w:color w:val="000000" w:themeColor="text1"/>
                <w:sz w:val="22"/>
                <w:lang w:val="ru-RU"/>
              </w:rPr>
            </w:pPr>
            <w:r>
              <w:rPr>
                <w:color w:val="000000" w:themeColor="text1"/>
                <w:sz w:val="22"/>
                <w:lang w:val="ru-RU"/>
              </w:rPr>
              <w:t>11</w:t>
            </w:r>
            <w:r w:rsidRPr="00E86020">
              <w:rPr>
                <w:color w:val="000000" w:themeColor="text1"/>
                <w:sz w:val="22"/>
                <w:lang w:val="ru-RU"/>
              </w:rPr>
              <w:t xml:space="preserve">. </w:t>
            </w:r>
            <w:r w:rsidRPr="00E86020">
              <w:rPr>
                <w:color w:val="000000" w:themeColor="text1"/>
                <w:sz w:val="22"/>
                <w:szCs w:val="22"/>
                <w:lang w:val="ru-RU"/>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w:t>
            </w:r>
            <w:r>
              <w:rPr>
                <w:color w:val="000000" w:themeColor="text1"/>
                <w:sz w:val="22"/>
                <w:szCs w:val="22"/>
                <w:lang w:val="ru-RU"/>
              </w:rPr>
              <w:t>/услуг</w:t>
            </w:r>
            <w:r w:rsidRPr="00E86020">
              <w:rPr>
                <w:color w:val="000000" w:themeColor="text1"/>
                <w:sz w:val="22"/>
                <w:szCs w:val="22"/>
                <w:lang w:val="ru-RU"/>
              </w:rPr>
              <w:t xml:space="preserve"> по Договору. Для реализации данного права Заказчику достаточно направить Подрядчику уведомление </w:t>
            </w:r>
            <w:r w:rsidR="00DE0D35">
              <w:rPr>
                <w:color w:val="000000" w:themeColor="text1"/>
                <w:sz w:val="22"/>
                <w:szCs w:val="22"/>
                <w:lang w:val="ru-RU"/>
              </w:rPr>
              <w:t xml:space="preserve">(заявление) об одностороннем зачете взаимных </w:t>
            </w:r>
            <w:r w:rsidR="00A15389">
              <w:rPr>
                <w:color w:val="000000" w:themeColor="text1"/>
                <w:sz w:val="22"/>
                <w:szCs w:val="22"/>
                <w:lang w:val="ru-RU"/>
              </w:rPr>
              <w:t xml:space="preserve">обязательств </w:t>
            </w:r>
            <w:r w:rsidRPr="00E86020">
              <w:rPr>
                <w:color w:val="000000" w:themeColor="text1"/>
                <w:sz w:val="22"/>
                <w:szCs w:val="22"/>
                <w:lang w:val="ru-RU"/>
              </w:rPr>
              <w:t>или включить соответствующ</w:t>
            </w:r>
            <w:r w:rsidR="00DE0D35">
              <w:rPr>
                <w:color w:val="000000" w:themeColor="text1"/>
                <w:sz w:val="22"/>
                <w:szCs w:val="22"/>
                <w:lang w:val="ru-RU"/>
              </w:rPr>
              <w:t>ее уведомление (заявление)</w:t>
            </w:r>
            <w:r w:rsidRPr="00E86020">
              <w:rPr>
                <w:color w:val="000000" w:themeColor="text1"/>
                <w:sz w:val="22"/>
                <w:szCs w:val="22"/>
                <w:lang w:val="ru-RU"/>
              </w:rPr>
              <w:t xml:space="preserve"> в текст выставленной претензии.</w:t>
            </w:r>
          </w:p>
        </w:tc>
      </w:tr>
      <w:tr w:rsidR="00426D79" w:rsidRPr="00C0440E" w14:paraId="09B3B42C" w14:textId="77777777" w:rsidTr="00426D79">
        <w:trPr>
          <w:trHeight w:val="771"/>
          <w:jc w:val="center"/>
        </w:trPr>
        <w:tc>
          <w:tcPr>
            <w:tcW w:w="14596" w:type="dxa"/>
            <w:gridSpan w:val="9"/>
            <w:shd w:val="clear" w:color="auto" w:fill="auto"/>
          </w:tcPr>
          <w:p w14:paraId="6A33C1E3" w14:textId="12CF0623" w:rsidR="00426D79" w:rsidRPr="00E86020" w:rsidRDefault="00426D79" w:rsidP="007A4E5F">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нахождение на производственных объектах и лицензионных участках Заказчика работников Подрядчика/Субпо</w:t>
            </w:r>
            <w:r>
              <w:rPr>
                <w:color w:val="000000" w:themeColor="text1"/>
                <w:sz w:val="22"/>
                <w:lang w:val="ru-RU"/>
              </w:rPr>
              <w:t>д</w:t>
            </w:r>
            <w:r w:rsidRPr="004B1C15">
              <w:rPr>
                <w:color w:val="000000" w:themeColor="text1"/>
                <w:sz w:val="22"/>
                <w:lang w:val="ru-RU"/>
              </w:rPr>
              <w:t>рядчика в состоянии алкогольного, наркотического или токсического опьянения</w:t>
            </w:r>
            <w:r>
              <w:rPr>
                <w:color w:val="000000" w:themeColor="text1"/>
                <w:sz w:val="22"/>
                <w:lang w:val="ru-RU"/>
              </w:rPr>
              <w:t>, принятие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Pr="004B1C15">
              <w:rPr>
                <w:color w:val="000000" w:themeColor="text1"/>
                <w:sz w:val="22"/>
                <w:lang w:val="ru-RU"/>
              </w:rPr>
              <w:t>штрафны</w:t>
            </w:r>
            <w:r w:rsidR="007A4E5F">
              <w:rPr>
                <w:color w:val="000000" w:themeColor="text1"/>
                <w:sz w:val="22"/>
                <w:lang w:val="ru-RU"/>
              </w:rPr>
              <w:t>е</w:t>
            </w:r>
            <w:r w:rsidRPr="004B1C15">
              <w:rPr>
                <w:color w:val="000000" w:themeColor="text1"/>
                <w:sz w:val="22"/>
                <w:lang w:val="ru-RU"/>
              </w:rPr>
              <w:t xml:space="preserve"> санкци</w:t>
            </w:r>
            <w:r w:rsidR="007A4E5F">
              <w:rPr>
                <w:color w:val="000000" w:themeColor="text1"/>
                <w:sz w:val="22"/>
                <w:lang w:val="ru-RU"/>
              </w:rPr>
              <w:t>и</w:t>
            </w:r>
            <w:r w:rsidRPr="004B1C15">
              <w:rPr>
                <w:color w:val="000000" w:themeColor="text1"/>
                <w:sz w:val="22"/>
                <w:lang w:val="ru-RU"/>
              </w:rPr>
              <w:t>.</w:t>
            </w:r>
          </w:p>
        </w:tc>
      </w:tr>
      <w:tr w:rsidR="00426D79" w:rsidRPr="00C0440E" w14:paraId="358A76AA" w14:textId="77777777" w:rsidTr="00426D79">
        <w:trPr>
          <w:trHeight w:val="670"/>
          <w:jc w:val="center"/>
        </w:trPr>
        <w:tc>
          <w:tcPr>
            <w:tcW w:w="14596" w:type="dxa"/>
            <w:gridSpan w:val="9"/>
            <w:shd w:val="clear" w:color="auto" w:fill="auto"/>
          </w:tcPr>
          <w:p w14:paraId="4E13B0BC" w14:textId="230B2A7D" w:rsidR="00426D79" w:rsidRPr="00E86020" w:rsidRDefault="00426D79" w:rsidP="007A4E5F">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Pr>
                <w:color w:val="000000" w:themeColor="text1"/>
                <w:sz w:val="22"/>
                <w:szCs w:val="22"/>
                <w:lang w:val="ru-RU"/>
              </w:rPr>
              <w:t>11</w:t>
            </w:r>
            <w:r w:rsidRPr="00511BE0">
              <w:rPr>
                <w:color w:val="000000" w:themeColor="text1"/>
                <w:sz w:val="22"/>
                <w:szCs w:val="22"/>
                <w:lang w:val="ru-RU"/>
              </w:rPr>
              <w:t xml:space="preserve"> и 1</w:t>
            </w:r>
            <w:r>
              <w:rPr>
                <w:color w:val="000000" w:themeColor="text1"/>
                <w:sz w:val="22"/>
                <w:szCs w:val="22"/>
                <w:lang w:val="ru-RU"/>
              </w:rPr>
              <w:t>2 настоящего п</w:t>
            </w:r>
            <w:r w:rsidRPr="00511BE0">
              <w:rPr>
                <w:color w:val="000000" w:themeColor="text1"/>
                <w:sz w:val="22"/>
                <w:szCs w:val="22"/>
                <w:lang w:val="ru-RU"/>
              </w:rPr>
              <w:t>еречня</w:t>
            </w:r>
            <w:r>
              <w:rPr>
                <w:color w:val="000000" w:themeColor="text1"/>
                <w:sz w:val="22"/>
                <w:szCs w:val="22"/>
                <w:lang w:val="ru-RU"/>
              </w:rPr>
              <w:t xml:space="preserve"> штрафных санкций</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7A4E5F">
              <w:rPr>
                <w:color w:val="000000" w:themeColor="text1"/>
                <w:sz w:val="22"/>
                <w:szCs w:val="22"/>
                <w:lang w:val="ru-RU"/>
              </w:rPr>
              <w:t>уменьшить</w:t>
            </w:r>
            <w:r w:rsidRPr="00511BE0">
              <w:rPr>
                <w:color w:val="000000" w:themeColor="text1"/>
                <w:sz w:val="22"/>
                <w:szCs w:val="22"/>
                <w:lang w:val="ru-RU"/>
              </w:rPr>
              <w:t xml:space="preserve"> штраф в отношении своего работника (работника Субподрядчика)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p>
        </w:tc>
      </w:tr>
      <w:tr w:rsidR="00426D79" w:rsidRPr="00C0440E" w14:paraId="71C057A5" w14:textId="77777777" w:rsidTr="00426D79">
        <w:trPr>
          <w:trHeight w:val="670"/>
          <w:jc w:val="center"/>
        </w:trPr>
        <w:tc>
          <w:tcPr>
            <w:tcW w:w="14596" w:type="dxa"/>
            <w:gridSpan w:val="9"/>
            <w:shd w:val="clear" w:color="auto" w:fill="auto"/>
          </w:tcPr>
          <w:p w14:paraId="1BF72C5B" w14:textId="3896DBE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7A4E5F">
              <w:rPr>
                <w:color w:val="000000" w:themeColor="text1"/>
                <w:sz w:val="22"/>
                <w:szCs w:val="22"/>
                <w:lang w:val="ru-RU"/>
              </w:rPr>
              <w:t>уменьшить</w:t>
            </w:r>
            <w:r>
              <w:rPr>
                <w:color w:val="000000" w:themeColor="text1"/>
                <w:sz w:val="22"/>
                <w:szCs w:val="22"/>
                <w:lang w:val="ru-RU"/>
              </w:rPr>
              <w:t xml:space="preserve"> штраф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1, </w:t>
            </w:r>
            <w:proofErr w:type="gramStart"/>
            <w:r>
              <w:rPr>
                <w:color w:val="000000" w:themeColor="text1"/>
                <w:sz w:val="22"/>
                <w:szCs w:val="22"/>
                <w:lang w:val="ru-RU"/>
              </w:rPr>
              <w:t>2,  7</w:t>
            </w:r>
            <w:proofErr w:type="gramEnd"/>
            <w:r>
              <w:rPr>
                <w:color w:val="000000" w:themeColor="text1"/>
                <w:sz w:val="22"/>
                <w:szCs w:val="22"/>
                <w:lang w:val="ru-RU"/>
              </w:rPr>
              <w:t>, 8, 10,11, 12, 13  настоящего перечня штрафных санкций).</w:t>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Default="00F125EA" w:rsidP="00516083">
      <w:pPr>
        <w:jc w:val="both"/>
        <w:rPr>
          <w:rFonts w:ascii="Arial" w:hAnsi="Arial" w:cs="Arial"/>
          <w:color w:val="000000" w:themeColor="text1"/>
          <w:sz w:val="20"/>
          <w:szCs w:val="20"/>
          <w:lang w:val="ru-RU"/>
        </w:rPr>
      </w:pPr>
    </w:p>
    <w:p w14:paraId="420AF4A4" w14:textId="77777777" w:rsidR="005E7D66" w:rsidRDefault="005E7D66" w:rsidP="00516083">
      <w:pPr>
        <w:jc w:val="both"/>
        <w:rPr>
          <w:rFonts w:ascii="Arial" w:hAnsi="Arial" w:cs="Arial"/>
          <w:color w:val="000000" w:themeColor="text1"/>
          <w:sz w:val="20"/>
          <w:szCs w:val="20"/>
          <w:lang w:val="ru-RU"/>
        </w:rPr>
      </w:pPr>
    </w:p>
    <w:p w14:paraId="450E0479" w14:textId="77777777" w:rsidR="005E7D66" w:rsidRPr="003A0135" w:rsidRDefault="005E7D66" w:rsidP="005E7D66">
      <w:pPr>
        <w:ind w:left="705"/>
        <w:jc w:val="center"/>
        <w:rPr>
          <w:lang w:val="ru-RU"/>
        </w:rPr>
      </w:pPr>
      <w:r w:rsidRPr="003A0135">
        <w:t>Подписи сторон:</w:t>
      </w:r>
    </w:p>
    <w:p w14:paraId="3C67D18F" w14:textId="77777777" w:rsidR="005E7D66" w:rsidRPr="003A0135" w:rsidRDefault="005E7D66" w:rsidP="005E7D66">
      <w:pPr>
        <w:ind w:left="705"/>
        <w:jc w:val="center"/>
        <w:rPr>
          <w:lang w:val="ru-RU"/>
        </w:rPr>
      </w:pPr>
    </w:p>
    <w:p w14:paraId="28F7904E" w14:textId="77777777" w:rsidR="005E7D66" w:rsidRPr="003A0135" w:rsidRDefault="005E7D66" w:rsidP="005E7D66">
      <w:pPr>
        <w:ind w:left="705"/>
        <w:jc w:val="center"/>
        <w:rPr>
          <w:lang w:val="ru-RU"/>
        </w:rPr>
      </w:pPr>
    </w:p>
    <w:tbl>
      <w:tblPr>
        <w:tblW w:w="0" w:type="auto"/>
        <w:tblInd w:w="392" w:type="dxa"/>
        <w:tblLook w:val="01E0" w:firstRow="1" w:lastRow="1" w:firstColumn="1" w:lastColumn="1" w:noHBand="0" w:noVBand="0"/>
      </w:tblPr>
      <w:tblGrid>
        <w:gridCol w:w="7796"/>
        <w:gridCol w:w="6804"/>
      </w:tblGrid>
      <w:tr w:rsidR="005E7D66" w:rsidRPr="003A0135" w14:paraId="36912C17" w14:textId="77777777" w:rsidTr="005E7D66">
        <w:tc>
          <w:tcPr>
            <w:tcW w:w="7796" w:type="dxa"/>
          </w:tcPr>
          <w:p w14:paraId="74EFE8C1" w14:textId="2819AA48" w:rsidR="003A0135" w:rsidRPr="003A0135" w:rsidRDefault="005440F4" w:rsidP="003A0135">
            <w:pPr>
              <w:spacing w:line="360" w:lineRule="auto"/>
              <w:rPr>
                <w:color w:val="000000"/>
              </w:rPr>
            </w:pPr>
            <w:r w:rsidRPr="003A0135">
              <w:rPr>
                <w:color w:val="000000"/>
                <w:lang w:val="ru-RU"/>
              </w:rPr>
              <w:t>Продавец</w:t>
            </w:r>
            <w:r w:rsidR="005E7D66" w:rsidRPr="003A0135">
              <w:rPr>
                <w:color w:val="000000"/>
              </w:rPr>
              <w:t>:</w:t>
            </w:r>
          </w:p>
        </w:tc>
        <w:tc>
          <w:tcPr>
            <w:tcW w:w="6804" w:type="dxa"/>
          </w:tcPr>
          <w:p w14:paraId="32C1240F" w14:textId="7EA2719A" w:rsidR="005E7D66" w:rsidRPr="003A0135" w:rsidRDefault="005440F4" w:rsidP="005440F4">
            <w:pPr>
              <w:rPr>
                <w:color w:val="000000"/>
              </w:rPr>
            </w:pPr>
            <w:r w:rsidRPr="003A0135">
              <w:rPr>
                <w:color w:val="000000"/>
                <w:lang w:val="ru-RU"/>
              </w:rPr>
              <w:t>Покупатель</w:t>
            </w:r>
            <w:r w:rsidR="005E7D66" w:rsidRPr="003A0135">
              <w:rPr>
                <w:color w:val="000000"/>
              </w:rPr>
              <w:t>:</w:t>
            </w:r>
          </w:p>
        </w:tc>
      </w:tr>
      <w:tr w:rsidR="00EC3CDE" w:rsidRPr="003A0135" w14:paraId="699DEAE0" w14:textId="77777777" w:rsidTr="005E7D66">
        <w:tc>
          <w:tcPr>
            <w:tcW w:w="7796" w:type="dxa"/>
          </w:tcPr>
          <w:p w14:paraId="7A55439F" w14:textId="7FF7C697" w:rsidR="00EC3CDE" w:rsidRPr="003A0135" w:rsidRDefault="00EC3CDE" w:rsidP="00EC3CDE">
            <w:pPr>
              <w:rPr>
                <w:color w:val="000000"/>
                <w:lang w:val="ru-RU"/>
              </w:rPr>
            </w:pPr>
            <w:r w:rsidRPr="00706C6A">
              <w:rPr>
                <w:b/>
              </w:rPr>
              <w:fldChar w:fldCharType="begin">
                <w:ffData>
                  <w:name w:val="ТекстовоеПоле19"/>
                  <w:enabled/>
                  <w:calcOnExit w:val="0"/>
                  <w:textInput/>
                </w:ffData>
              </w:fldChar>
            </w:r>
            <w:r w:rsidRPr="00706C6A">
              <w:rPr>
                <w:b/>
              </w:rPr>
              <w:instrText xml:space="preserve"> FORMTEXT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p>
        </w:tc>
        <w:tc>
          <w:tcPr>
            <w:tcW w:w="6804" w:type="dxa"/>
          </w:tcPr>
          <w:p w14:paraId="34101FBA" w14:textId="62D5F7C0" w:rsidR="00EC3CDE" w:rsidRPr="003A0135" w:rsidRDefault="00EC3CDE" w:rsidP="00EC3CDE">
            <w:pPr>
              <w:rPr>
                <w:color w:val="000000"/>
              </w:rPr>
            </w:pPr>
            <w:r w:rsidRPr="00706C6A">
              <w:rPr>
                <w:b/>
              </w:rPr>
              <w:fldChar w:fldCharType="begin">
                <w:ffData>
                  <w:name w:val="ТекстовоеПоле19"/>
                  <w:enabled/>
                  <w:calcOnExit w:val="0"/>
                  <w:textInput/>
                </w:ffData>
              </w:fldChar>
            </w:r>
            <w:r w:rsidRPr="00706C6A">
              <w:rPr>
                <w:b/>
              </w:rPr>
              <w:instrText xml:space="preserve"> FORMTEXT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p>
        </w:tc>
      </w:tr>
      <w:tr w:rsidR="00EC3CDE" w:rsidRPr="003A0135" w14:paraId="11C0B54A" w14:textId="77777777" w:rsidTr="005E7D66">
        <w:tc>
          <w:tcPr>
            <w:tcW w:w="7796" w:type="dxa"/>
          </w:tcPr>
          <w:p w14:paraId="5F8A9187" w14:textId="77777777" w:rsidR="00EC3CDE" w:rsidRPr="00AE2FEC" w:rsidRDefault="00EC3CDE" w:rsidP="00EC3CDE">
            <w:pPr>
              <w:rPr>
                <w:color w:val="000000"/>
              </w:rPr>
            </w:pPr>
          </w:p>
          <w:p w14:paraId="61FDDFDA" w14:textId="77777777" w:rsidR="00EC3CDE" w:rsidRPr="003A0135" w:rsidRDefault="00EC3CDE" w:rsidP="00EC3CDE">
            <w:pPr>
              <w:rPr>
                <w:color w:val="000000"/>
                <w:lang w:val="ru-RU"/>
              </w:rPr>
            </w:pPr>
            <w:r w:rsidRPr="003A0135">
              <w:rPr>
                <w:color w:val="000000"/>
                <w:lang w:val="ru-RU"/>
              </w:rPr>
              <w:t>____________________ /</w:t>
            </w:r>
            <w:r w:rsidRPr="00706C6A">
              <w:rPr>
                <w:b/>
              </w:rPr>
              <w:fldChar w:fldCharType="begin">
                <w:ffData>
                  <w:name w:val="ТекстовоеПоле19"/>
                  <w:enabled/>
                  <w:calcOnExit w:val="0"/>
                  <w:textInput/>
                </w:ffData>
              </w:fldChar>
            </w:r>
            <w:r w:rsidRPr="00706C6A">
              <w:rPr>
                <w:b/>
              </w:rPr>
              <w:instrText xml:space="preserve"> FORMTEXT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p>
          <w:p w14:paraId="34E0961B" w14:textId="77777777" w:rsidR="00EC3CDE" w:rsidRPr="003A0135" w:rsidRDefault="00EC3CDE" w:rsidP="00EC3CDE">
            <w:pPr>
              <w:rPr>
                <w:color w:val="000000"/>
              </w:rPr>
            </w:pPr>
          </w:p>
        </w:tc>
        <w:tc>
          <w:tcPr>
            <w:tcW w:w="6804" w:type="dxa"/>
          </w:tcPr>
          <w:p w14:paraId="2DF63904" w14:textId="77777777" w:rsidR="00EC3CDE" w:rsidRPr="00AE2FEC" w:rsidRDefault="00EC3CDE" w:rsidP="00EC3CDE">
            <w:pPr>
              <w:rPr>
                <w:color w:val="000000"/>
              </w:rPr>
            </w:pPr>
          </w:p>
          <w:p w14:paraId="4F7B04B3" w14:textId="133ADEAD" w:rsidR="00EC3CDE" w:rsidRPr="003A0135" w:rsidRDefault="00EC3CDE" w:rsidP="00EC3CDE">
            <w:pPr>
              <w:rPr>
                <w:color w:val="000000"/>
                <w:lang w:val="ru-RU"/>
              </w:rPr>
            </w:pPr>
            <w:r w:rsidRPr="003A0135">
              <w:rPr>
                <w:color w:val="000000"/>
                <w:lang w:val="ru-RU"/>
              </w:rPr>
              <w:t>____________________ /</w:t>
            </w:r>
            <w:r w:rsidRPr="00706C6A">
              <w:rPr>
                <w:b/>
              </w:rPr>
              <w:fldChar w:fldCharType="begin">
                <w:ffData>
                  <w:name w:val="ТекстовоеПоле19"/>
                  <w:enabled/>
                  <w:calcOnExit w:val="0"/>
                  <w:textInput/>
                </w:ffData>
              </w:fldChar>
            </w:r>
            <w:r w:rsidRPr="00706C6A">
              <w:rPr>
                <w:b/>
              </w:rPr>
              <w:instrText xml:space="preserve"> FORMTEXT </w:instrText>
            </w:r>
            <w:r w:rsidRPr="00706C6A">
              <w:rPr>
                <w:b/>
              </w:rPr>
            </w:r>
            <w:r w:rsidRPr="00706C6A">
              <w:rPr>
                <w:b/>
              </w:rPr>
              <w:fldChar w:fldCharType="separate"/>
            </w:r>
            <w:r w:rsidRPr="00706C6A">
              <w:rPr>
                <w:b/>
                <w:noProof/>
              </w:rPr>
              <w:t> </w:t>
            </w:r>
            <w:r w:rsidRPr="00706C6A">
              <w:rPr>
                <w:b/>
                <w:noProof/>
              </w:rPr>
              <w:t> </w:t>
            </w:r>
            <w:r w:rsidRPr="00706C6A">
              <w:rPr>
                <w:b/>
                <w:noProof/>
              </w:rPr>
              <w:t> </w:t>
            </w:r>
            <w:r w:rsidRPr="00706C6A">
              <w:rPr>
                <w:b/>
                <w:noProof/>
              </w:rPr>
              <w:t> </w:t>
            </w:r>
            <w:r w:rsidRPr="00706C6A">
              <w:rPr>
                <w:b/>
                <w:noProof/>
              </w:rPr>
              <w:t> </w:t>
            </w:r>
            <w:r w:rsidRPr="00706C6A">
              <w:rPr>
                <w:b/>
              </w:rPr>
              <w:fldChar w:fldCharType="end"/>
            </w:r>
          </w:p>
          <w:p w14:paraId="3D702177" w14:textId="77777777" w:rsidR="00EC3CDE" w:rsidRPr="003A0135" w:rsidRDefault="00EC3CDE" w:rsidP="00EC3CDE">
            <w:pPr>
              <w:rPr>
                <w:color w:val="000000"/>
                <w:lang w:val="ru-RU"/>
              </w:rPr>
            </w:pPr>
          </w:p>
        </w:tc>
      </w:tr>
    </w:tbl>
    <w:p w14:paraId="04EE4D09" w14:textId="77777777" w:rsidR="005E7D66" w:rsidRPr="00E86020" w:rsidRDefault="005E7D66" w:rsidP="00516083">
      <w:pPr>
        <w:jc w:val="both"/>
        <w:rPr>
          <w:rFonts w:ascii="Arial" w:hAnsi="Arial" w:cs="Arial"/>
          <w:color w:val="000000" w:themeColor="text1"/>
          <w:sz w:val="20"/>
          <w:szCs w:val="20"/>
          <w:lang w:val="ru-RU"/>
        </w:rPr>
      </w:pPr>
    </w:p>
    <w:sectPr w:rsidR="005E7D66" w:rsidRPr="00E86020" w:rsidSect="00165892">
      <w:headerReference w:type="default" r:id="rId7"/>
      <w:footerReference w:type="default" r:id="rId8"/>
      <w:pgSz w:w="16838" w:h="11906" w:orient="landscape"/>
      <w:pgMar w:top="1276"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41F4" w14:textId="77777777" w:rsidR="003519E6" w:rsidRDefault="003519E6">
      <w:r>
        <w:separator/>
      </w:r>
    </w:p>
  </w:endnote>
  <w:endnote w:type="continuationSeparator" w:id="0">
    <w:p w14:paraId="7E76B3C3" w14:textId="77777777" w:rsidR="003519E6" w:rsidRDefault="00351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CE43" w14:textId="043D3973" w:rsidR="00E37457" w:rsidRPr="00CD1608" w:rsidRDefault="00E37457" w:rsidP="00CD1608">
    <w:pPr>
      <w:pBdr>
        <w:top w:val="single" w:sz="4" w:space="1" w:color="auto"/>
      </w:pBdr>
      <w:spacing w:line="240" w:lineRule="atLeast"/>
      <w:ind w:right="-22"/>
      <w:rPr>
        <w:rFonts w:ascii="Arial" w:hAnsi="Arial" w:cs="Arial"/>
        <w:noProof/>
        <w:sz w:val="16"/>
        <w:szCs w:val="16"/>
        <w:lang w:val="ru-RU"/>
      </w:rPr>
    </w:pPr>
  </w:p>
  <w:p w14:paraId="2EBDA70A" w14:textId="43D89369" w:rsidR="00E37457" w:rsidRPr="00081A75" w:rsidRDefault="00E37457">
    <w:pPr>
      <w:pStyle w:val="a6"/>
      <w:rPr>
        <w:lang w:val="ru-RU"/>
      </w:rPr>
    </w:pPr>
  </w:p>
  <w:p w14:paraId="0C9AF2CF" w14:textId="77777777" w:rsidR="00E37457" w:rsidRPr="00081A75" w:rsidRDefault="00E37457">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51E20" w14:textId="77777777" w:rsidR="003519E6" w:rsidRDefault="003519E6">
      <w:r>
        <w:separator/>
      </w:r>
    </w:p>
  </w:footnote>
  <w:footnote w:type="continuationSeparator" w:id="0">
    <w:p w14:paraId="0551D71B" w14:textId="77777777" w:rsidR="003519E6" w:rsidRDefault="00351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79B17" w14:textId="4B2C3767" w:rsidR="002044D1" w:rsidRDefault="003519E6">
    <w:pPr>
      <w:pStyle w:val="a4"/>
    </w:pPr>
    <w:r>
      <w:rPr>
        <w:noProof/>
        <w:lang w:val="ru-RU" w:eastAsia="ru-RU"/>
      </w:rPr>
      <w:pict w14:anchorId="7A5643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ouAzyqyWo5pCKoaeKySfwiF0LM+RJMCTP7appthH1WvNRxozuKvkPUxjmV1MFEZl4eiPxh1e9VC2O3uQTv95g==" w:salt="LePWRQ5fd9qPivpozGAS2Q=="/>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24D2"/>
    <w:rsid w:val="000B3159"/>
    <w:rsid w:val="000B39E0"/>
    <w:rsid w:val="000B552C"/>
    <w:rsid w:val="000C3250"/>
    <w:rsid w:val="000C5663"/>
    <w:rsid w:val="000C7274"/>
    <w:rsid w:val="000D6C64"/>
    <w:rsid w:val="000D72CC"/>
    <w:rsid w:val="000E0DF8"/>
    <w:rsid w:val="000E0E06"/>
    <w:rsid w:val="000E11B9"/>
    <w:rsid w:val="000E26F7"/>
    <w:rsid w:val="000E6476"/>
    <w:rsid w:val="000F1AC4"/>
    <w:rsid w:val="000F3CA3"/>
    <w:rsid w:val="000F46B8"/>
    <w:rsid w:val="000F46DF"/>
    <w:rsid w:val="00105157"/>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892"/>
    <w:rsid w:val="0016597A"/>
    <w:rsid w:val="00172596"/>
    <w:rsid w:val="00176E34"/>
    <w:rsid w:val="00180C85"/>
    <w:rsid w:val="00181060"/>
    <w:rsid w:val="00184294"/>
    <w:rsid w:val="00184413"/>
    <w:rsid w:val="001906EB"/>
    <w:rsid w:val="0019072D"/>
    <w:rsid w:val="001957F3"/>
    <w:rsid w:val="0019587B"/>
    <w:rsid w:val="00196DAD"/>
    <w:rsid w:val="001A5F5E"/>
    <w:rsid w:val="001A721F"/>
    <w:rsid w:val="001A75FB"/>
    <w:rsid w:val="001A76D9"/>
    <w:rsid w:val="001B1B4B"/>
    <w:rsid w:val="001B2ADB"/>
    <w:rsid w:val="001B5F22"/>
    <w:rsid w:val="001C3A7E"/>
    <w:rsid w:val="001C7D03"/>
    <w:rsid w:val="001D4A37"/>
    <w:rsid w:val="001D5E35"/>
    <w:rsid w:val="001E4667"/>
    <w:rsid w:val="001F771C"/>
    <w:rsid w:val="00200D71"/>
    <w:rsid w:val="002025B3"/>
    <w:rsid w:val="002044D1"/>
    <w:rsid w:val="00205369"/>
    <w:rsid w:val="00205ADF"/>
    <w:rsid w:val="00210678"/>
    <w:rsid w:val="00210B1F"/>
    <w:rsid w:val="00213BC8"/>
    <w:rsid w:val="0021587F"/>
    <w:rsid w:val="00215AE2"/>
    <w:rsid w:val="00215E74"/>
    <w:rsid w:val="002236AA"/>
    <w:rsid w:val="002248AB"/>
    <w:rsid w:val="002316B4"/>
    <w:rsid w:val="002360C2"/>
    <w:rsid w:val="002463FE"/>
    <w:rsid w:val="0025069E"/>
    <w:rsid w:val="00254A87"/>
    <w:rsid w:val="00261390"/>
    <w:rsid w:val="00262C5B"/>
    <w:rsid w:val="002662B8"/>
    <w:rsid w:val="0027208E"/>
    <w:rsid w:val="002747C1"/>
    <w:rsid w:val="00280B59"/>
    <w:rsid w:val="0028392E"/>
    <w:rsid w:val="00286337"/>
    <w:rsid w:val="00290113"/>
    <w:rsid w:val="002B286E"/>
    <w:rsid w:val="002C0B45"/>
    <w:rsid w:val="002C56DC"/>
    <w:rsid w:val="002C64C9"/>
    <w:rsid w:val="002D0B42"/>
    <w:rsid w:val="002D3221"/>
    <w:rsid w:val="002E1014"/>
    <w:rsid w:val="002E4458"/>
    <w:rsid w:val="002E4CA3"/>
    <w:rsid w:val="003133BF"/>
    <w:rsid w:val="00317FE9"/>
    <w:rsid w:val="003345A2"/>
    <w:rsid w:val="0033719E"/>
    <w:rsid w:val="003457E3"/>
    <w:rsid w:val="003519E6"/>
    <w:rsid w:val="003633C2"/>
    <w:rsid w:val="00363C05"/>
    <w:rsid w:val="00363E1D"/>
    <w:rsid w:val="00367AFC"/>
    <w:rsid w:val="003714E5"/>
    <w:rsid w:val="00374658"/>
    <w:rsid w:val="003819B4"/>
    <w:rsid w:val="00381D83"/>
    <w:rsid w:val="003839CF"/>
    <w:rsid w:val="003968C5"/>
    <w:rsid w:val="003A005B"/>
    <w:rsid w:val="003A0135"/>
    <w:rsid w:val="003A3C44"/>
    <w:rsid w:val="003C6A2C"/>
    <w:rsid w:val="003C7CF9"/>
    <w:rsid w:val="003D33AF"/>
    <w:rsid w:val="003E1FF1"/>
    <w:rsid w:val="003E2084"/>
    <w:rsid w:val="003F1B96"/>
    <w:rsid w:val="003F22DF"/>
    <w:rsid w:val="003F4267"/>
    <w:rsid w:val="003F4731"/>
    <w:rsid w:val="00405043"/>
    <w:rsid w:val="00406BB4"/>
    <w:rsid w:val="004113D9"/>
    <w:rsid w:val="00411E2A"/>
    <w:rsid w:val="00412F98"/>
    <w:rsid w:val="0041470A"/>
    <w:rsid w:val="004200A7"/>
    <w:rsid w:val="0042038D"/>
    <w:rsid w:val="0042510C"/>
    <w:rsid w:val="00426D79"/>
    <w:rsid w:val="00435D1C"/>
    <w:rsid w:val="00442F09"/>
    <w:rsid w:val="00450FA5"/>
    <w:rsid w:val="00455E96"/>
    <w:rsid w:val="00457F59"/>
    <w:rsid w:val="00460A5D"/>
    <w:rsid w:val="00460EAD"/>
    <w:rsid w:val="004617E9"/>
    <w:rsid w:val="00463065"/>
    <w:rsid w:val="00474E6E"/>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40F4"/>
    <w:rsid w:val="00545691"/>
    <w:rsid w:val="00552365"/>
    <w:rsid w:val="0056158B"/>
    <w:rsid w:val="00561622"/>
    <w:rsid w:val="00563B34"/>
    <w:rsid w:val="00574B3F"/>
    <w:rsid w:val="00575732"/>
    <w:rsid w:val="00590196"/>
    <w:rsid w:val="005920A6"/>
    <w:rsid w:val="005966E1"/>
    <w:rsid w:val="00596E5C"/>
    <w:rsid w:val="005A52AA"/>
    <w:rsid w:val="005B741E"/>
    <w:rsid w:val="005C7C16"/>
    <w:rsid w:val="005D32A2"/>
    <w:rsid w:val="005D3F0D"/>
    <w:rsid w:val="005D4B5A"/>
    <w:rsid w:val="005D6B94"/>
    <w:rsid w:val="005E3788"/>
    <w:rsid w:val="005E643B"/>
    <w:rsid w:val="005E7D66"/>
    <w:rsid w:val="005F177F"/>
    <w:rsid w:val="005F3C06"/>
    <w:rsid w:val="005F5E41"/>
    <w:rsid w:val="005F7B07"/>
    <w:rsid w:val="00600141"/>
    <w:rsid w:val="00604BAA"/>
    <w:rsid w:val="00605927"/>
    <w:rsid w:val="00606F41"/>
    <w:rsid w:val="00611AB8"/>
    <w:rsid w:val="006171E3"/>
    <w:rsid w:val="00631717"/>
    <w:rsid w:val="006339EA"/>
    <w:rsid w:val="0063474A"/>
    <w:rsid w:val="00634C61"/>
    <w:rsid w:val="0063658C"/>
    <w:rsid w:val="00641A77"/>
    <w:rsid w:val="0064274D"/>
    <w:rsid w:val="0064607E"/>
    <w:rsid w:val="00650C11"/>
    <w:rsid w:val="00657E58"/>
    <w:rsid w:val="006617B0"/>
    <w:rsid w:val="0066232C"/>
    <w:rsid w:val="00662A24"/>
    <w:rsid w:val="00664F2C"/>
    <w:rsid w:val="00680A15"/>
    <w:rsid w:val="00680E99"/>
    <w:rsid w:val="00681EFC"/>
    <w:rsid w:val="00682CFE"/>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2BA6"/>
    <w:rsid w:val="007B360A"/>
    <w:rsid w:val="007B41F8"/>
    <w:rsid w:val="007B4EFD"/>
    <w:rsid w:val="007B5431"/>
    <w:rsid w:val="007C1C8A"/>
    <w:rsid w:val="007C458A"/>
    <w:rsid w:val="007C6199"/>
    <w:rsid w:val="007D0BE2"/>
    <w:rsid w:val="007D1542"/>
    <w:rsid w:val="007D1C92"/>
    <w:rsid w:val="007D2E00"/>
    <w:rsid w:val="007D4614"/>
    <w:rsid w:val="007D76B3"/>
    <w:rsid w:val="007D78E6"/>
    <w:rsid w:val="007E1794"/>
    <w:rsid w:val="007E3756"/>
    <w:rsid w:val="007F0E95"/>
    <w:rsid w:val="007F1939"/>
    <w:rsid w:val="007F4732"/>
    <w:rsid w:val="007F4FE4"/>
    <w:rsid w:val="008027CB"/>
    <w:rsid w:val="008073B9"/>
    <w:rsid w:val="0081002B"/>
    <w:rsid w:val="008134FC"/>
    <w:rsid w:val="00824B3E"/>
    <w:rsid w:val="008437C3"/>
    <w:rsid w:val="00845254"/>
    <w:rsid w:val="00846A82"/>
    <w:rsid w:val="00846E91"/>
    <w:rsid w:val="008518D2"/>
    <w:rsid w:val="00851F09"/>
    <w:rsid w:val="00852D58"/>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5F8D"/>
    <w:rsid w:val="009066C6"/>
    <w:rsid w:val="00914915"/>
    <w:rsid w:val="0091609C"/>
    <w:rsid w:val="00924AD7"/>
    <w:rsid w:val="00924EC6"/>
    <w:rsid w:val="00937FF3"/>
    <w:rsid w:val="00950097"/>
    <w:rsid w:val="00953E64"/>
    <w:rsid w:val="00962AE3"/>
    <w:rsid w:val="00963E75"/>
    <w:rsid w:val="009644F0"/>
    <w:rsid w:val="00965EA2"/>
    <w:rsid w:val="00967929"/>
    <w:rsid w:val="00973071"/>
    <w:rsid w:val="0097476C"/>
    <w:rsid w:val="00977D15"/>
    <w:rsid w:val="00981B24"/>
    <w:rsid w:val="00994EE9"/>
    <w:rsid w:val="00995E51"/>
    <w:rsid w:val="009A44E2"/>
    <w:rsid w:val="009A4733"/>
    <w:rsid w:val="009A5439"/>
    <w:rsid w:val="009B13EC"/>
    <w:rsid w:val="009B23A1"/>
    <w:rsid w:val="009B3709"/>
    <w:rsid w:val="009B39C5"/>
    <w:rsid w:val="009C1B05"/>
    <w:rsid w:val="009D53E6"/>
    <w:rsid w:val="009D55E4"/>
    <w:rsid w:val="009E0DE1"/>
    <w:rsid w:val="009E3C7C"/>
    <w:rsid w:val="009E58FB"/>
    <w:rsid w:val="009E6803"/>
    <w:rsid w:val="009E6DC7"/>
    <w:rsid w:val="009F0C09"/>
    <w:rsid w:val="00A0031E"/>
    <w:rsid w:val="00A008AA"/>
    <w:rsid w:val="00A04B56"/>
    <w:rsid w:val="00A15389"/>
    <w:rsid w:val="00A21133"/>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2FEC"/>
    <w:rsid w:val="00AE5EA8"/>
    <w:rsid w:val="00AF1F4D"/>
    <w:rsid w:val="00AF40B4"/>
    <w:rsid w:val="00AF5571"/>
    <w:rsid w:val="00AF5C43"/>
    <w:rsid w:val="00AF7726"/>
    <w:rsid w:val="00B00359"/>
    <w:rsid w:val="00B04CE1"/>
    <w:rsid w:val="00B100D0"/>
    <w:rsid w:val="00B12487"/>
    <w:rsid w:val="00B12D6F"/>
    <w:rsid w:val="00B1476A"/>
    <w:rsid w:val="00B1582B"/>
    <w:rsid w:val="00B15CE9"/>
    <w:rsid w:val="00B1742B"/>
    <w:rsid w:val="00B24587"/>
    <w:rsid w:val="00B30777"/>
    <w:rsid w:val="00B3408B"/>
    <w:rsid w:val="00B56169"/>
    <w:rsid w:val="00B61810"/>
    <w:rsid w:val="00B62E38"/>
    <w:rsid w:val="00B64ADC"/>
    <w:rsid w:val="00B66B4C"/>
    <w:rsid w:val="00B677A5"/>
    <w:rsid w:val="00B70912"/>
    <w:rsid w:val="00B72F6E"/>
    <w:rsid w:val="00B73EE5"/>
    <w:rsid w:val="00B805D3"/>
    <w:rsid w:val="00B822B3"/>
    <w:rsid w:val="00B84C24"/>
    <w:rsid w:val="00B84F5D"/>
    <w:rsid w:val="00B97A58"/>
    <w:rsid w:val="00BA016B"/>
    <w:rsid w:val="00BA2461"/>
    <w:rsid w:val="00BA61BB"/>
    <w:rsid w:val="00BA6872"/>
    <w:rsid w:val="00BA7F95"/>
    <w:rsid w:val="00BB3D75"/>
    <w:rsid w:val="00BB71AF"/>
    <w:rsid w:val="00BC0328"/>
    <w:rsid w:val="00BC1725"/>
    <w:rsid w:val="00BC1CB2"/>
    <w:rsid w:val="00BC56ED"/>
    <w:rsid w:val="00BD258C"/>
    <w:rsid w:val="00BD3894"/>
    <w:rsid w:val="00BD6BB0"/>
    <w:rsid w:val="00BE1609"/>
    <w:rsid w:val="00BE41C4"/>
    <w:rsid w:val="00BF28FD"/>
    <w:rsid w:val="00BF760F"/>
    <w:rsid w:val="00C0440E"/>
    <w:rsid w:val="00C0474A"/>
    <w:rsid w:val="00C2115B"/>
    <w:rsid w:val="00C3043B"/>
    <w:rsid w:val="00C34523"/>
    <w:rsid w:val="00C37168"/>
    <w:rsid w:val="00C41D4D"/>
    <w:rsid w:val="00C47A94"/>
    <w:rsid w:val="00C66F31"/>
    <w:rsid w:val="00C675C9"/>
    <w:rsid w:val="00C72E38"/>
    <w:rsid w:val="00C87682"/>
    <w:rsid w:val="00C925C2"/>
    <w:rsid w:val="00C94942"/>
    <w:rsid w:val="00C96ECD"/>
    <w:rsid w:val="00CA2A92"/>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73"/>
    <w:rsid w:val="00D279CB"/>
    <w:rsid w:val="00D349DB"/>
    <w:rsid w:val="00D34FB8"/>
    <w:rsid w:val="00D35214"/>
    <w:rsid w:val="00D3736C"/>
    <w:rsid w:val="00D44C81"/>
    <w:rsid w:val="00D513A6"/>
    <w:rsid w:val="00D62B39"/>
    <w:rsid w:val="00D661B4"/>
    <w:rsid w:val="00D71CCF"/>
    <w:rsid w:val="00D7333C"/>
    <w:rsid w:val="00D7346B"/>
    <w:rsid w:val="00D73965"/>
    <w:rsid w:val="00D80699"/>
    <w:rsid w:val="00D839DF"/>
    <w:rsid w:val="00D84EF5"/>
    <w:rsid w:val="00D87D00"/>
    <w:rsid w:val="00DA3E4C"/>
    <w:rsid w:val="00DA3F43"/>
    <w:rsid w:val="00DA7297"/>
    <w:rsid w:val="00DB03DE"/>
    <w:rsid w:val="00DB63DB"/>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56F83"/>
    <w:rsid w:val="00E6048A"/>
    <w:rsid w:val="00E71D9D"/>
    <w:rsid w:val="00E71FF3"/>
    <w:rsid w:val="00E72BB3"/>
    <w:rsid w:val="00E7666B"/>
    <w:rsid w:val="00E77178"/>
    <w:rsid w:val="00E8185C"/>
    <w:rsid w:val="00E85B5C"/>
    <w:rsid w:val="00E86020"/>
    <w:rsid w:val="00E97EB8"/>
    <w:rsid w:val="00EA5A97"/>
    <w:rsid w:val="00EC3B79"/>
    <w:rsid w:val="00EC3CDE"/>
    <w:rsid w:val="00EC5FB0"/>
    <w:rsid w:val="00EC70F3"/>
    <w:rsid w:val="00ED11DB"/>
    <w:rsid w:val="00ED2D8F"/>
    <w:rsid w:val="00EF071C"/>
    <w:rsid w:val="00F04B3E"/>
    <w:rsid w:val="00F04C19"/>
    <w:rsid w:val="00F04EBB"/>
    <w:rsid w:val="00F05B67"/>
    <w:rsid w:val="00F075E3"/>
    <w:rsid w:val="00F125EA"/>
    <w:rsid w:val="00F16701"/>
    <w:rsid w:val="00F21592"/>
    <w:rsid w:val="00F223CB"/>
    <w:rsid w:val="00F3112C"/>
    <w:rsid w:val="00F402A5"/>
    <w:rsid w:val="00F43C1D"/>
    <w:rsid w:val="00F4619C"/>
    <w:rsid w:val="00F50510"/>
    <w:rsid w:val="00F5122D"/>
    <w:rsid w:val="00F51277"/>
    <w:rsid w:val="00F54857"/>
    <w:rsid w:val="00F55BB8"/>
    <w:rsid w:val="00F603E1"/>
    <w:rsid w:val="00F63865"/>
    <w:rsid w:val="00F64A5F"/>
    <w:rsid w:val="00F65833"/>
    <w:rsid w:val="00F70ED3"/>
    <w:rsid w:val="00F75D92"/>
    <w:rsid w:val="00F83FE8"/>
    <w:rsid w:val="00F86FCD"/>
    <w:rsid w:val="00F95F95"/>
    <w:rsid w:val="00F96FC8"/>
    <w:rsid w:val="00FA1E51"/>
    <w:rsid w:val="00FA234F"/>
    <w:rsid w:val="00FA4745"/>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105755"/>
  <w15:docId w15:val="{EBB34933-9C8C-4634-AE80-4200AC91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1512</Words>
  <Characters>8623</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Позднова Мария Михайловна</cp:lastModifiedBy>
  <cp:revision>2</cp:revision>
  <cp:lastPrinted>2019-10-17T11:28:00Z</cp:lastPrinted>
  <dcterms:created xsi:type="dcterms:W3CDTF">2023-03-21T14:35:00Z</dcterms:created>
  <dcterms:modified xsi:type="dcterms:W3CDTF">2023-03-21T14:35:00Z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P1adzcHGDRtX00002X16OW</vt:lpwstr>
  </property>
</Properties>
</file>