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bookmarkStart w:id="1" w:name="_GoBack"/>
      <w:r w:rsidR="00293A9C" w:rsidRPr="00223B9A">
        <w:rPr>
          <w:noProof/>
          <w:sz w:val="24"/>
          <w:szCs w:val="24"/>
          <w:highlight w:val="lightGray"/>
        </w:rPr>
        <w:t>__________</w:t>
      </w:r>
      <w:bookmarkEnd w:id="1"/>
      <w:r w:rsidR="009A77C9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2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3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4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 или Общество Группы"/>
            </w:textInput>
          </w:ffData>
        </w:fldChar>
      </w:r>
      <w:bookmarkStart w:id="5" w:name="ТекстовоеПоле75"/>
      <w:r w:rsidR="008616DE">
        <w:rPr>
          <w:sz w:val="24"/>
          <w:szCs w:val="24"/>
          <w:highlight w:val="lightGray"/>
        </w:rPr>
        <w:instrText xml:space="preserve"> FORMTEXT </w:instrTex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  <w:fldChar w:fldCharType="separate"/>
      </w:r>
      <w:r w:rsidR="008616DE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 или Общество Группы</w:t>
      </w:r>
      <w:r>
        <w:rPr>
          <w:sz w:val="24"/>
          <w:szCs w:val="24"/>
          <w:highlight w:val="lightGray"/>
        </w:rPr>
        <w:fldChar w:fldCharType="end"/>
      </w:r>
      <w:bookmarkEnd w:id="5"/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6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6"/>
      <w:r w:rsidR="001E5D99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7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7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8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8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9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Pr="00223B9A">
        <w:rPr>
          <w:sz w:val="24"/>
          <w:szCs w:val="24"/>
        </w:rPr>
        <w:fldChar w:fldCharType="end"/>
      </w:r>
      <w:bookmarkEnd w:id="9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 xml:space="preserve">, далее именуемое Покупатель, в 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3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3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4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4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9A77C9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5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9A77C9" w:rsidRPr="00223B9A">
        <w:rPr>
          <w:sz w:val="24"/>
          <w:szCs w:val="24"/>
          <w:highlight w:val="lightGray"/>
          <w:lang w:val="en-US"/>
        </w:rPr>
      </w:r>
      <w:r w:rsidR="009A77C9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9A77C9" w:rsidRPr="00223B9A">
        <w:rPr>
          <w:sz w:val="24"/>
          <w:szCs w:val="24"/>
          <w:highlight w:val="lightGray"/>
          <w:lang w:val="en-US"/>
        </w:rPr>
        <w:fldChar w:fldCharType="end"/>
      </w:r>
      <w:bookmarkEnd w:id="15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составляет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6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6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 xml:space="preserve">ей,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7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8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рублей,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9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),</w:t>
      </w:r>
      <w:r w:rsidR="00973DD2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20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0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1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2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3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3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4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4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5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5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от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6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7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8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8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9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9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течении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9A77C9">
        <w:rPr>
          <w:sz w:val="24"/>
          <w:szCs w:val="24"/>
        </w:rPr>
        <w:fldChar w:fldCharType="begin">
          <w:ffData>
            <w:name w:val="ТекстовоеПоле183"/>
            <w:enabled/>
            <w:calcOnExit w:val="0"/>
            <w:textInput>
              <w:default w:val="и Движимого (Применимо/не применимо)"/>
            </w:textInput>
          </w:ffData>
        </w:fldChar>
      </w:r>
      <w:bookmarkStart w:id="30" w:name="ТекстовоеПоле183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Движимого (Применимо/не применимо)</w:t>
      </w:r>
      <w:r w:rsidR="009A77C9">
        <w:rPr>
          <w:sz w:val="24"/>
          <w:szCs w:val="24"/>
        </w:rPr>
        <w:fldChar w:fldCharType="end"/>
      </w:r>
      <w:bookmarkEnd w:id="30"/>
      <w:r w:rsidR="008616DE" w:rsidRPr="008616DE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31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1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4"/>
            <w:enabled/>
            <w:calcOnExit w:val="0"/>
            <w:textInput>
              <w:default w:val="и Движимое (Применимо/не применимо)"/>
            </w:textInput>
          </w:ffData>
        </w:fldChar>
      </w:r>
      <w:bookmarkStart w:id="32" w:name="ТекстовоеПоле184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(Применимо/не применимо)</w:t>
      </w:r>
      <w:r w:rsidR="009A77C9">
        <w:rPr>
          <w:sz w:val="24"/>
          <w:szCs w:val="24"/>
        </w:rPr>
        <w:fldChar w:fldCharType="end"/>
      </w:r>
      <w:bookmarkEnd w:id="32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(сооружения)  по форме 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6)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7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A21CE2">
        <w:rPr>
          <w:sz w:val="24"/>
          <w:szCs w:val="24"/>
        </w:rPr>
        <w:t>8</w:t>
      </w:r>
      <w:r w:rsidR="00832157" w:rsidRPr="00223B9A">
        <w:rPr>
          <w:sz w:val="24"/>
          <w:szCs w:val="24"/>
        </w:rPr>
        <w:t xml:space="preserve">)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9A77C9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 xml:space="preserve">документы и техническую документацию, относящуюся к Имуществу, а также все </w:t>
      </w:r>
      <w:r w:rsidR="00832157" w:rsidRPr="00223B9A">
        <w:rPr>
          <w:noProof/>
          <w:sz w:val="24"/>
          <w:szCs w:val="24"/>
          <w:highlight w:val="lightGray"/>
        </w:rPr>
        <w:lastRenderedPageBreak/>
        <w:t>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="009A77C9"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185"/>
            <w:enabled/>
            <w:calcOnExit w:val="0"/>
            <w:textInput>
              <w:default w:val="электронный адрес "/>
            </w:textInput>
          </w:ffData>
        </w:fldChar>
      </w:r>
      <w:bookmarkStart w:id="33" w:name="ТекстовоеПоле185"/>
      <w:r w:rsidR="008616DE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9A77C9">
        <w:rPr>
          <w:rFonts w:eastAsia="Calibri"/>
          <w:sz w:val="24"/>
          <w:szCs w:val="24"/>
          <w:lang w:eastAsia="en-US"/>
        </w:rPr>
      </w:r>
      <w:r w:rsidR="009A77C9">
        <w:rPr>
          <w:rFonts w:eastAsia="Calibri"/>
          <w:sz w:val="24"/>
          <w:szCs w:val="24"/>
          <w:lang w:eastAsia="en-US"/>
        </w:rPr>
        <w:fldChar w:fldCharType="separate"/>
      </w:r>
      <w:r w:rsidR="008616DE">
        <w:rPr>
          <w:rFonts w:eastAsia="Calibri"/>
          <w:noProof/>
          <w:sz w:val="24"/>
          <w:szCs w:val="24"/>
          <w:lang w:eastAsia="en-US"/>
        </w:rPr>
        <w:t xml:space="preserve">электронный адрес </w:t>
      </w:r>
      <w:r w:rsidR="009A77C9">
        <w:rPr>
          <w:rFonts w:eastAsia="Calibri"/>
          <w:sz w:val="24"/>
          <w:szCs w:val="24"/>
          <w:lang w:eastAsia="en-US"/>
        </w:rPr>
        <w:fldChar w:fldCharType="end"/>
      </w:r>
      <w:bookmarkEnd w:id="33"/>
      <w:r w:rsidR="008616DE" w:rsidRPr="008616DE">
        <w:rPr>
          <w:rFonts w:eastAsia="Calibri"/>
          <w:sz w:val="24"/>
          <w:szCs w:val="24"/>
          <w:lang w:eastAsia="en-US"/>
        </w:rPr>
        <w:t xml:space="preserve"> </w:t>
      </w:r>
      <w:r w:rsidRPr="00223B9A">
        <w:rPr>
          <w:rFonts w:eastAsia="Calibri"/>
          <w:sz w:val="24"/>
          <w:szCs w:val="24"/>
          <w:lang w:eastAsia="en-US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9A77C9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9A77C9" w:rsidRPr="00C774E7">
        <w:rPr>
          <w:sz w:val="24"/>
          <w:szCs w:val="24"/>
          <w:highlight w:val="lightGray"/>
        </w:rPr>
      </w:r>
      <w:r w:rsidR="009A77C9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9A77C9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коммунальными платежами и услугами (в т.ч. в части энерго-,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6"/>
            <w:enabled/>
            <w:calcOnExit w:val="0"/>
            <w:textInput>
              <w:default w:val="и Движимое (Применимо/ не применимо)"/>
            </w:textInput>
          </w:ffData>
        </w:fldChar>
      </w:r>
      <w:bookmarkStart w:id="34" w:name="ТекстовоеПоле186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 не применимо)</w:t>
      </w:r>
      <w:r w:rsidR="009A77C9">
        <w:rPr>
          <w:sz w:val="24"/>
          <w:szCs w:val="24"/>
        </w:rPr>
        <w:fldChar w:fldCharType="end"/>
      </w:r>
      <w:bookmarkEnd w:id="34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5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5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9A77C9">
        <w:rPr>
          <w:sz w:val="24"/>
          <w:szCs w:val="24"/>
        </w:rPr>
        <w:fldChar w:fldCharType="begin">
          <w:ffData>
            <w:name w:val="ТекстовоеПоле187"/>
            <w:enabled/>
            <w:calcOnExit w:val="0"/>
            <w:textInput>
              <w:default w:val="и Движимым (Применимо/ не применимо)"/>
            </w:textInput>
          </w:ffData>
        </w:fldChar>
      </w:r>
      <w:bookmarkStart w:id="36" w:name="ТекстовоеПоле187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Движимым (Применимо/ не применимо)</w:t>
      </w:r>
      <w:r w:rsidR="009A77C9">
        <w:rPr>
          <w:sz w:val="24"/>
          <w:szCs w:val="24"/>
        </w:rPr>
        <w:fldChar w:fldCharType="end"/>
      </w:r>
      <w:bookmarkEnd w:id="36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0135F6" w:rsidRDefault="00D0556B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отказа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0135F6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контрагента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 от предоставления Информации, согласно п</w:t>
      </w:r>
      <w:r w:rsidR="00F1406F" w:rsidRPr="000135F6">
        <w:rPr>
          <w:sz w:val="24"/>
          <w:szCs w:val="24"/>
        </w:rPr>
        <w:t xml:space="preserve">. </w:t>
      </w:r>
      <w:r w:rsidR="005B2FC2" w:rsidRPr="000135F6">
        <w:rPr>
          <w:sz w:val="24"/>
          <w:szCs w:val="24"/>
        </w:rPr>
        <w:t>8</w:t>
      </w:r>
      <w:r w:rsidR="00F1406F" w:rsidRPr="000135F6">
        <w:rPr>
          <w:sz w:val="24"/>
          <w:szCs w:val="24"/>
        </w:rPr>
        <w:t>.7.</w:t>
      </w:r>
      <w:r w:rsidRPr="000135F6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0135F6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135F6" w:rsidRDefault="00D0556B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предоставления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969A3" w:rsidRPr="000135F6">
        <w:rPr>
          <w:sz w:val="24"/>
          <w:szCs w:val="24"/>
        </w:rPr>
        <w:instrText xml:space="preserve"> FORMTEXT </w:instrText>
      </w:r>
      <w:r w:rsidR="009A77C9" w:rsidRPr="000135F6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="005969A3" w:rsidRPr="000135F6">
        <w:rPr>
          <w:sz w:val="24"/>
          <w:szCs w:val="24"/>
        </w:rPr>
        <w:t>(указывается обозначение контрагента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="005969A3" w:rsidRPr="000135F6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Информации не в полном объеме (т.е. непредставление </w:t>
      </w:r>
      <w:r w:rsidR="005969A3" w:rsidRPr="000135F6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>какой-либо информации</w:t>
      </w:r>
      <w:r w:rsidR="005969A3" w:rsidRPr="000135F6">
        <w:rPr>
          <w:sz w:val="24"/>
          <w:szCs w:val="24"/>
        </w:rPr>
        <w:t>,</w:t>
      </w:r>
      <w:r w:rsidRPr="000135F6">
        <w:rPr>
          <w:sz w:val="24"/>
          <w:szCs w:val="24"/>
        </w:rPr>
        <w:t xml:space="preserve"> указанной в форме (Приложение № </w:t>
      </w:r>
      <w:r w:rsidR="00F1406F" w:rsidRPr="000135F6">
        <w:rPr>
          <w:sz w:val="24"/>
          <w:szCs w:val="24"/>
        </w:rPr>
        <w:t>4</w:t>
      </w:r>
      <w:r w:rsidRPr="000135F6">
        <w:rPr>
          <w:sz w:val="24"/>
          <w:szCs w:val="24"/>
        </w:rPr>
        <w:t xml:space="preserve"> к настоящему Договору)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0135F6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0135F6">
        <w:rPr>
          <w:sz w:val="24"/>
          <w:szCs w:val="24"/>
        </w:rPr>
        <w:t>8</w:t>
      </w:r>
      <w:r w:rsidR="00F1406F" w:rsidRPr="000135F6">
        <w:rPr>
          <w:sz w:val="24"/>
          <w:szCs w:val="24"/>
        </w:rPr>
        <w:t xml:space="preserve">.7. </w:t>
      </w:r>
      <w:r w:rsidRPr="000135F6">
        <w:rPr>
          <w:sz w:val="24"/>
          <w:szCs w:val="24"/>
        </w:rPr>
        <w:t xml:space="preserve">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0135F6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"Роснефть"  или Общества Группы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135F6" w:rsidRDefault="000135F6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получения </w:t>
      </w:r>
      <w:r w:rsidR="00B429A5">
        <w:rPr>
          <w:sz w:val="24"/>
          <w:szCs w:val="24"/>
        </w:rPr>
        <w:fldChar w:fldCharType="begin">
          <w:ffData>
            <w:name w:val="ТекстовоеПоле188"/>
            <w:enabled/>
            <w:calcOnExit w:val="0"/>
            <w:textInput>
              <w:default w:val="(указывается обозначение ПАО  &quot;НК &quot;Роснефть&quot;  или Общества Группы как стороны в договоре) "/>
            </w:textInput>
          </w:ffData>
        </w:fldChar>
      </w:r>
      <w:bookmarkStart w:id="37" w:name="ТекстовоеПоле188"/>
      <w:r w:rsidR="00B429A5">
        <w:rPr>
          <w:sz w:val="24"/>
          <w:szCs w:val="24"/>
        </w:rPr>
        <w:instrText xml:space="preserve"> FORMTEXT </w:instrText>
      </w:r>
      <w:r w:rsidR="00B429A5">
        <w:rPr>
          <w:sz w:val="24"/>
          <w:szCs w:val="24"/>
        </w:rPr>
      </w:r>
      <w:r w:rsidR="00B429A5">
        <w:rPr>
          <w:sz w:val="24"/>
          <w:szCs w:val="24"/>
        </w:rPr>
        <w:fldChar w:fldCharType="separate"/>
      </w:r>
      <w:r w:rsidR="00B429A5">
        <w:rPr>
          <w:noProof/>
          <w:sz w:val="24"/>
          <w:szCs w:val="24"/>
        </w:rPr>
        <w:t xml:space="preserve">(указывается обозначение ПАО  "НК "Роснефть"  или Общества Группы как стороны в договоре) </w:t>
      </w:r>
      <w:r w:rsidR="00B429A5">
        <w:rPr>
          <w:sz w:val="24"/>
          <w:szCs w:val="24"/>
        </w:rPr>
        <w:fldChar w:fldCharType="end"/>
      </w:r>
      <w:bookmarkEnd w:id="37"/>
      <w:r w:rsidR="00B429A5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B429A5">
        <w:rPr>
          <w:sz w:val="24"/>
          <w:szCs w:val="24"/>
        </w:rPr>
        <w:fldChar w:fldCharType="begin">
          <w:ffData>
            <w:name w:val="ТекстовоеПоле189"/>
            <w:enabled/>
            <w:calcOnExit w:val="0"/>
            <w:textInput>
              <w:default w:val="(указывается обозначение ПАО  &quot;НК &quot;Роснефть&quot;  или Общества Группы как стороны в договоре) "/>
            </w:textInput>
          </w:ffData>
        </w:fldChar>
      </w:r>
      <w:bookmarkStart w:id="38" w:name="ТекстовоеПоле189"/>
      <w:r w:rsidR="00B429A5">
        <w:rPr>
          <w:sz w:val="24"/>
          <w:szCs w:val="24"/>
        </w:rPr>
        <w:instrText xml:space="preserve"> FORMTEXT </w:instrText>
      </w:r>
      <w:r w:rsidR="00B429A5">
        <w:rPr>
          <w:sz w:val="24"/>
          <w:szCs w:val="24"/>
        </w:rPr>
      </w:r>
      <w:r w:rsidR="00B429A5">
        <w:rPr>
          <w:sz w:val="24"/>
          <w:szCs w:val="24"/>
        </w:rPr>
        <w:fldChar w:fldCharType="separate"/>
      </w:r>
      <w:r w:rsidR="00B429A5">
        <w:rPr>
          <w:noProof/>
          <w:sz w:val="24"/>
          <w:szCs w:val="24"/>
        </w:rPr>
        <w:t xml:space="preserve">(указывается обозначение ПАО  "НК "Роснефть"  или Общества Группы как стороны в договоре) </w:t>
      </w:r>
      <w:r w:rsidR="00B429A5">
        <w:rPr>
          <w:sz w:val="24"/>
          <w:szCs w:val="24"/>
        </w:rPr>
        <w:fldChar w:fldCharType="end"/>
      </w:r>
      <w:bookmarkEnd w:id="38"/>
      <w:r w:rsidR="00B429A5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вправе в одностороннем порядке отказаться от исполнения настоящего </w:t>
      </w:r>
      <w:r w:rsidR="00D327CD">
        <w:rPr>
          <w:sz w:val="24"/>
          <w:szCs w:val="24"/>
        </w:rPr>
        <w:fldChar w:fldCharType="begin">
          <w:ffData>
            <w:name w:val="ТекстовоеПоле190"/>
            <w:enabled/>
            <w:calcOnExit w:val="0"/>
            <w:textInput>
              <w:default w:val="Договора/Контракта/Соглашения "/>
            </w:textInput>
          </w:ffData>
        </w:fldChar>
      </w:r>
      <w:bookmarkStart w:id="39" w:name="ТекстовоеПоле190"/>
      <w:r w:rsidR="00D327CD">
        <w:rPr>
          <w:sz w:val="24"/>
          <w:szCs w:val="24"/>
        </w:rPr>
        <w:instrText xml:space="preserve"> FORMTEXT </w:instrText>
      </w:r>
      <w:r w:rsidR="00D327CD">
        <w:rPr>
          <w:sz w:val="24"/>
          <w:szCs w:val="24"/>
        </w:rPr>
      </w:r>
      <w:r w:rsidR="00D327CD">
        <w:rPr>
          <w:sz w:val="24"/>
          <w:szCs w:val="24"/>
        </w:rPr>
        <w:fldChar w:fldCharType="separate"/>
      </w:r>
      <w:r w:rsidR="00D327CD">
        <w:rPr>
          <w:noProof/>
          <w:sz w:val="24"/>
          <w:szCs w:val="24"/>
        </w:rPr>
        <w:t xml:space="preserve">Договора/Контракта/Соглашения </w:t>
      </w:r>
      <w:r w:rsidR="00D327CD">
        <w:rPr>
          <w:sz w:val="24"/>
          <w:szCs w:val="24"/>
        </w:rPr>
        <w:fldChar w:fldCharType="end"/>
      </w:r>
      <w:bookmarkEnd w:id="39"/>
      <w:r w:rsidR="00D327CD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путем направления письменного уведомления о прекращении </w:t>
      </w:r>
      <w:r w:rsidR="00D327CD">
        <w:rPr>
          <w:sz w:val="24"/>
          <w:szCs w:val="24"/>
        </w:rPr>
        <w:fldChar w:fldCharType="begin">
          <w:ffData>
            <w:name w:val="ТекстовоеПоле191"/>
            <w:enabled/>
            <w:calcOnExit w:val="0"/>
            <w:textInput>
              <w:default w:val="Договора/Контракта/Соглашения "/>
            </w:textInput>
          </w:ffData>
        </w:fldChar>
      </w:r>
      <w:bookmarkStart w:id="40" w:name="ТекстовоеПоле191"/>
      <w:r w:rsidR="00D327CD">
        <w:rPr>
          <w:sz w:val="24"/>
          <w:szCs w:val="24"/>
        </w:rPr>
        <w:instrText xml:space="preserve"> FORMTEXT </w:instrText>
      </w:r>
      <w:r w:rsidR="00D327CD">
        <w:rPr>
          <w:sz w:val="24"/>
          <w:szCs w:val="24"/>
        </w:rPr>
      </w:r>
      <w:r w:rsidR="00D327CD">
        <w:rPr>
          <w:sz w:val="24"/>
          <w:szCs w:val="24"/>
        </w:rPr>
        <w:fldChar w:fldCharType="separate"/>
      </w:r>
      <w:r w:rsidR="00D327CD">
        <w:rPr>
          <w:noProof/>
          <w:sz w:val="24"/>
          <w:szCs w:val="24"/>
        </w:rPr>
        <w:t xml:space="preserve">Договора/Контракта/Соглашения </w:t>
      </w:r>
      <w:r w:rsidR="00D327CD">
        <w:rPr>
          <w:sz w:val="24"/>
          <w:szCs w:val="24"/>
        </w:rPr>
        <w:fldChar w:fldCharType="end"/>
      </w:r>
      <w:bookmarkEnd w:id="40"/>
      <w:r w:rsidR="00D327CD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>в течение 5 (пяти) рабочих дней с момента направления уведомления.</w:t>
      </w:r>
    </w:p>
    <w:p w:rsidR="000135F6" w:rsidRDefault="00FE2C33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</w:p>
    <w:p w:rsidR="00B108B1" w:rsidRPr="000135F6" w:rsidRDefault="00B108B1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</w:t>
      </w:r>
      <w:r w:rsidRPr="000135F6">
        <w:rPr>
          <w:sz w:val="24"/>
          <w:szCs w:val="24"/>
        </w:rPr>
        <w:lastRenderedPageBreak/>
        <w:t xml:space="preserve">товаров (работ, услуг)  в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926C8D" w:rsidRPr="000135F6" w:rsidRDefault="00926C8D" w:rsidP="000135F6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>В случае недостижения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B62148" w:rsidRDefault="00B62148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Pr="00223B9A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C7367" w:rsidRDefault="00FC7367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5228D3" w:rsidRPr="00223B9A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>7.</w:t>
      </w:r>
      <w:r w:rsidRPr="006D26C1">
        <w:rPr>
          <w:color w:val="000000" w:themeColor="text1"/>
          <w:sz w:val="24"/>
          <w:szCs w:val="24"/>
        </w:rPr>
        <w:t xml:space="preserve">1. Для целей настоящей статьи термин 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/>
          <w:bCs/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t>«</w:t>
      </w:r>
      <w:r w:rsidRPr="006D26C1">
        <w:rPr>
          <w:b/>
          <w:color w:val="000000" w:themeColor="text1"/>
          <w:sz w:val="24"/>
          <w:szCs w:val="24"/>
        </w:rPr>
        <w:t xml:space="preserve">Раскрывающая сторона» </w:t>
      </w:r>
      <w:r w:rsidRPr="006D26C1">
        <w:rPr>
          <w:color w:val="000000" w:themeColor="text1"/>
          <w:sz w:val="24"/>
          <w:szCs w:val="24"/>
        </w:rPr>
        <w:t xml:space="preserve">означает для целей каждого случая обмена Конфиденциальной Информацией в соответствии с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6D26C1">
        <w:rPr>
          <w:b/>
          <w:bCs/>
          <w:color w:val="000000" w:themeColor="text1"/>
          <w:sz w:val="24"/>
          <w:szCs w:val="24"/>
        </w:rPr>
        <w:t xml:space="preserve"> 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Cs/>
          <w:color w:val="000000" w:themeColor="text1"/>
          <w:sz w:val="24"/>
          <w:szCs w:val="24"/>
        </w:rPr>
      </w:pPr>
      <w:r w:rsidRPr="006D26C1">
        <w:rPr>
          <w:b/>
          <w:bCs/>
          <w:color w:val="000000" w:themeColor="text1"/>
          <w:sz w:val="24"/>
          <w:szCs w:val="24"/>
        </w:rPr>
        <w:t>«Получающая Сторона»</w:t>
      </w:r>
      <w:r w:rsidRPr="006D26C1">
        <w:rPr>
          <w:bCs/>
          <w:color w:val="000000" w:themeColor="text1"/>
          <w:sz w:val="24"/>
          <w:szCs w:val="24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</w:t>
      </w:r>
      <w:r w:rsidRPr="006D26C1">
        <w:rPr>
          <w:color w:val="000000" w:themeColor="text1"/>
          <w:sz w:val="24"/>
          <w:szCs w:val="24"/>
        </w:rPr>
        <w:t>(далее – Представители Получающей Стороны)</w:t>
      </w:r>
      <w:r w:rsidRPr="006D26C1">
        <w:rPr>
          <w:bCs/>
          <w:color w:val="000000" w:themeColor="text1"/>
          <w:sz w:val="24"/>
          <w:szCs w:val="24"/>
        </w:rPr>
        <w:t>, которой получают) Конфиденциальную Информацию от другой Стороны;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Cs/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Информацией, между ПАО «НК «Роснефть», его Аффилированными лицами и пользователями Системы;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sz w:val="24"/>
          <w:szCs w:val="24"/>
        </w:rPr>
      </w:pPr>
      <w:r w:rsidRPr="006D26C1">
        <w:rPr>
          <w:b/>
          <w:sz w:val="24"/>
          <w:szCs w:val="24"/>
        </w:rPr>
        <w:t>«Съемные носители информации»</w:t>
      </w:r>
      <w:r w:rsidRPr="006D26C1">
        <w:rPr>
          <w:sz w:val="24"/>
          <w:szCs w:val="24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sz w:val="24"/>
          <w:szCs w:val="24"/>
        </w:rPr>
      </w:pPr>
      <w:r w:rsidRPr="006D26C1">
        <w:rPr>
          <w:b/>
          <w:sz w:val="24"/>
          <w:szCs w:val="24"/>
        </w:rPr>
        <w:t>«Конфиденциальность информации»</w:t>
      </w:r>
      <w:r w:rsidRPr="006D26C1">
        <w:rPr>
          <w:sz w:val="24"/>
          <w:szCs w:val="24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i/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 xml:space="preserve">Необходимо выбрать определение Конфиденциальной Информации с учётом следующего: 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i/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1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«Конфиденциальная Информация»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2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либо в силу применимого к ней законодательства;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b/>
          <w:color w:val="000000" w:themeColor="text1"/>
          <w:sz w:val="24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6D26C1">
        <w:rPr>
          <w:color w:val="000000" w:themeColor="text1"/>
          <w:sz w:val="24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;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b/>
          <w:color w:val="000000" w:themeColor="text1"/>
          <w:sz w:val="24"/>
        </w:rPr>
        <w:t>«Режим Конфиденциальности»</w:t>
      </w:r>
      <w:r w:rsidRPr="006D26C1">
        <w:rPr>
          <w:color w:val="000000" w:themeColor="text1"/>
          <w:sz w:val="24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7.2.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, в целях исполнения обязательств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6D26C1">
        <w:rPr>
          <w:rFonts w:ascii="Times New Roman CYR" w:hAnsi="Times New Roman CYR"/>
          <w:sz w:val="24"/>
        </w:rPr>
        <w:t xml:space="preserve"> 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>2.</w:t>
      </w:r>
      <w:r w:rsidRPr="00355EDE">
        <w:rPr>
          <w:color w:val="000000" w:themeColor="text1"/>
          <w:sz w:val="24"/>
        </w:rPr>
        <w:t>1</w:t>
      </w:r>
      <w:r w:rsidRPr="006D26C1">
        <w:rPr>
          <w:color w:val="000000" w:themeColor="text1"/>
          <w:sz w:val="24"/>
        </w:rPr>
        <w:t>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 w:rsidRPr="006D26C1">
        <w:rPr>
          <w:rFonts w:ascii="Times New Roman CYR" w:hAnsi="Times New Roman CYR"/>
          <w:sz w:val="24"/>
        </w:rPr>
        <w:t>, а также в случае судебного либо арбитражного (третейского) спора с Раскрывающей Стороной</w:t>
      </w:r>
      <w:r w:rsidRPr="006D26C1">
        <w:rPr>
          <w:color w:val="000000" w:themeColor="text1"/>
          <w:sz w:val="24"/>
        </w:rPr>
        <w:t>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>2.</w:t>
      </w:r>
      <w:r w:rsidRPr="00355EDE">
        <w:rPr>
          <w:color w:val="000000" w:themeColor="text1"/>
          <w:sz w:val="24"/>
        </w:rPr>
        <w:t>2</w:t>
      </w:r>
      <w:r w:rsidRPr="006D26C1">
        <w:rPr>
          <w:color w:val="000000" w:themeColor="text1"/>
          <w:sz w:val="24"/>
        </w:rPr>
        <w:t xml:space="preserve">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6D26C1" w:rsidRPr="006D26C1" w:rsidRDefault="006D26C1" w:rsidP="006D26C1">
      <w:pPr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lastRenderedPageBreak/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355EDE" w:rsidRPr="0044596C" w:rsidRDefault="00355EDE" w:rsidP="00355EDE">
      <w:pPr>
        <w:pStyle w:val="11"/>
        <w:ind w:firstLine="708"/>
        <w:jc w:val="both"/>
        <w:rPr>
          <w:rFonts w:ascii="Times New Roman" w:hAnsi="Times New Roman"/>
          <w:color w:val="000000"/>
        </w:rPr>
      </w:pPr>
      <w:r w:rsidRPr="0044596C">
        <w:rPr>
          <w:rFonts w:ascii="Times New Roman" w:hAnsi="Times New Roman"/>
          <w:color w:val="000000"/>
        </w:rPr>
        <w:t>7.</w:t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2.3.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>которые не должны его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44596C">
        <w:rPr>
          <w:rFonts w:ascii="Times New Roman" w:hAnsi="Times New Roman"/>
          <w:color w:val="000000"/>
        </w:rPr>
        <w:fldChar w:fldCharType="end"/>
      </w:r>
    </w:p>
    <w:p w:rsidR="00355EDE" w:rsidRPr="0044596C" w:rsidRDefault="00355EDE" w:rsidP="00355EDE">
      <w:pPr>
        <w:pStyle w:val="11"/>
        <w:ind w:firstLine="708"/>
        <w:jc w:val="both"/>
        <w:rPr>
          <w:rFonts w:ascii="Times New Roman" w:hAnsi="Times New Roman"/>
          <w:i/>
          <w:color w:val="000000"/>
        </w:rPr>
      </w:pPr>
      <w:r w:rsidRPr="0044596C">
        <w:rPr>
          <w:rFonts w:ascii="Times New Roman" w:hAnsi="Times New Roman"/>
          <w:i/>
          <w:color w:val="000000"/>
        </w:rPr>
        <w:fldChar w:fldCharType="begin">
          <w:ffData>
            <w:name w:val=""/>
            <w:enabled/>
            <w:calcOnExit w:val="0"/>
            <w:textInput>
              <w:default w:val="Примечание: пункт 7.2.3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44596C">
        <w:rPr>
          <w:rFonts w:ascii="Times New Roman" w:hAnsi="Times New Roman"/>
          <w:i/>
          <w:color w:val="000000"/>
        </w:rPr>
        <w:instrText xml:space="preserve"> FORMTEXT </w:instrText>
      </w:r>
      <w:r w:rsidRPr="0044596C">
        <w:rPr>
          <w:rFonts w:ascii="Times New Roman" w:hAnsi="Times New Roman"/>
          <w:i/>
          <w:color w:val="000000"/>
        </w:rPr>
      </w:r>
      <w:r w:rsidRPr="0044596C">
        <w:rPr>
          <w:rFonts w:ascii="Times New Roman" w:hAnsi="Times New Roman"/>
          <w:i/>
          <w:color w:val="000000"/>
        </w:rPr>
        <w:fldChar w:fldCharType="separate"/>
      </w:r>
      <w:r w:rsidRPr="0044596C">
        <w:rPr>
          <w:rFonts w:ascii="Times New Roman" w:hAnsi="Times New Roman"/>
          <w:i/>
          <w:noProof/>
          <w:color w:val="000000"/>
        </w:rPr>
        <w:t>Примечание: пункт 7.2.3.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44596C">
        <w:rPr>
          <w:rFonts w:ascii="Times New Roman" w:hAnsi="Times New Roman"/>
          <w:i/>
          <w:color w:val="000000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7.2.4."/>
            </w:textInput>
          </w:ffData>
        </w:fldChar>
      </w:r>
      <w:r>
        <w:rPr>
          <w:color w:val="000000" w:themeColor="text1"/>
          <w:sz w:val="24"/>
        </w:rPr>
        <w:instrText xml:space="preserve"> FORMTEXT </w:instrText>
      </w:r>
      <w:r>
        <w:rPr>
          <w:color w:val="000000" w:themeColor="text1"/>
          <w:sz w:val="24"/>
        </w:rPr>
      </w:r>
      <w:r>
        <w:rPr>
          <w:color w:val="000000" w:themeColor="text1"/>
          <w:sz w:val="24"/>
        </w:rPr>
        <w:fldChar w:fldCharType="separate"/>
      </w:r>
      <w:r>
        <w:rPr>
          <w:noProof/>
          <w:color w:val="000000" w:themeColor="text1"/>
          <w:sz w:val="24"/>
        </w:rPr>
        <w:t>7.2.4.</w:t>
      </w:r>
      <w:r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Федеральным законом от 29.07.2004 № 98-ФЗ «О коммерческой тайне» либо иным аналогичным законом. 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i/>
          <w:color w:val="000000" w:themeColor="text1"/>
          <w:sz w:val="24"/>
        </w:rPr>
        <w:t xml:space="preserve">         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Примечание: пункт 7.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>
        <w:rPr>
          <w:i/>
          <w:color w:val="000000" w:themeColor="text1"/>
          <w:sz w:val="24"/>
        </w:rPr>
        <w:instrText xml:space="preserve"> FORMTEXT </w:instrText>
      </w:r>
      <w:r>
        <w:rPr>
          <w:i/>
          <w:color w:val="000000" w:themeColor="text1"/>
          <w:sz w:val="24"/>
        </w:rPr>
      </w:r>
      <w:r>
        <w:rPr>
          <w:i/>
          <w:color w:val="000000" w:themeColor="text1"/>
          <w:sz w:val="24"/>
        </w:rPr>
        <w:fldChar w:fldCharType="separate"/>
      </w:r>
      <w:r>
        <w:rPr>
          <w:i/>
          <w:noProof/>
          <w:color w:val="000000" w:themeColor="text1"/>
          <w:sz w:val="24"/>
        </w:rPr>
        <w:t>Примечание: пункт 7.2.4.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spacing w:line="20" w:lineRule="atLeast"/>
        <w:ind w:firstLine="708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7.2.5."/>
            </w:textInput>
          </w:ffData>
        </w:fldChar>
      </w:r>
      <w:r>
        <w:rPr>
          <w:color w:val="000000" w:themeColor="text1"/>
          <w:sz w:val="24"/>
          <w:szCs w:val="24"/>
        </w:rPr>
        <w:instrText xml:space="preserve"> FORMTEXT </w:instrTex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7.2.5.</w:t>
      </w:r>
      <w:r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</w:t>
      </w:r>
      <w:r w:rsidRPr="006D26C1">
        <w:rPr>
          <w:sz w:val="24"/>
          <w:szCs w:val="24"/>
        </w:rPr>
        <w:t xml:space="preserve"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, не подлежит защите или подлежит защите в меньшей степени, чем предусмотрено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, это не отменяет и не уменьшает обязательств Получающей Стороны по настоящему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Договору/Соглашению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.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7.3.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 xml:space="preserve">4. По требованию Раскрывающей Стороны передача Конфиденциальной Информации оформляется Актом приёма-передачи (Приложение № </w:t>
      </w:r>
      <w:r w:rsidRPr="006D26C1">
        <w:rPr>
          <w:rFonts w:ascii="Arial" w:hAnsi="Arial"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D26C1">
        <w:rPr>
          <w:rFonts w:ascii="Arial" w:hAnsi="Arial"/>
          <w:color w:val="000000" w:themeColor="text1"/>
          <w:sz w:val="24"/>
        </w:rPr>
        <w:instrText xml:space="preserve"> FORMTEXT </w:instrText>
      </w:r>
      <w:r w:rsidRPr="006D26C1">
        <w:rPr>
          <w:rFonts w:ascii="Arial" w:hAnsi="Arial"/>
          <w:color w:val="000000" w:themeColor="text1"/>
          <w:sz w:val="24"/>
        </w:rPr>
      </w:r>
      <w:r w:rsidRPr="006D26C1">
        <w:rPr>
          <w:rFonts w:ascii="Arial" w:hAnsi="Arial"/>
          <w:color w:val="000000" w:themeColor="text1"/>
          <w:sz w:val="24"/>
        </w:rPr>
        <w:fldChar w:fldCharType="separate"/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color w:val="000000" w:themeColor="text1"/>
          <w:sz w:val="24"/>
        </w:rPr>
        <w:fldChar w:fldCharType="end"/>
      </w:r>
      <w:r w:rsidRPr="006D26C1">
        <w:rPr>
          <w:rFonts w:ascii="Arial" w:hAnsi="Arial"/>
          <w:color w:val="000000" w:themeColor="text1"/>
          <w:sz w:val="24"/>
        </w:rPr>
        <w:t xml:space="preserve">), </w:t>
      </w:r>
      <w:r w:rsidRPr="006D26C1">
        <w:rPr>
          <w:color w:val="000000" w:themeColor="text1"/>
          <w:sz w:val="24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. 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  <w:szCs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 xml:space="preserve">5. </w:t>
      </w: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Необходимо выбрать формулировку для договоров/соглашений с российским применимым правом: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выплатить Раскрывающ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выплатить Раскрывающй Стороне неустойку за каждый факт Разглашения в размере __ рублей и несанкционированного использования в размере __ рублей.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При этом убытки возмещаются в полной сумме сверх указанной неустойки (штрафная неустойка).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Примечание: размер неустойки опредляется куратором договора с учётом разъяснений, представленных ДПОБ в Пояснительной записке к настоящей оговорке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причинённый таким Разглашением, при этом упущенная выгода возмещению не подлежит.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(выбор соответствующего варианта ответственности осуществляется по решению Куратора договора)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3 (Роснефть является Получающей Стороной)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упущенная выгода возмещению не подлежит.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Необходимо выбрать формулировку для договоров/соглашений с иностранным применимым правом: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Вариант 1 (Роснефть раскрывающая сторона) 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2 (Роснефть получающая сторона)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в результате нарушения условий настоящий статьи;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(3) обязанность по доказыванию факта разглашения и размера убытков возлагается на Раскрывающую Сторону;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3 (Взаимное раскрытие)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(1) если иное не предусмотрено подпунктом (2) 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 в результате нарушения условий настоящего Договора/Соглашения Получающей Стороной;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Конфиденциальной Информации, произошедшего  в результате нарушения условий настоящего Договора/Соглашения Получающей Стороной;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t xml:space="preserve">7.6. Обязательства Получающей Стороны применительно к конкретной Конфиденциальной Информации, </w:t>
      </w:r>
      <w:r w:rsidRPr="006D26C1">
        <w:rPr>
          <w:color w:val="000000" w:themeColor="text1"/>
          <w:sz w:val="24"/>
        </w:rPr>
        <w:t xml:space="preserve">предоставляемой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, действуют </w:t>
      </w:r>
      <w:r w:rsidRPr="006D26C1">
        <w:rPr>
          <w:i/>
          <w:color w:val="000000" w:themeColor="text1"/>
          <w:sz w:val="24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1" w:name="ТекстовоеПоле1"/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до наступления наиболее поздней из следующих дат</w:t>
      </w:r>
      <w:r w:rsidRPr="006D26C1">
        <w:rPr>
          <w:i/>
          <w:color w:val="000000" w:themeColor="text1"/>
          <w:sz w:val="24"/>
        </w:rPr>
        <w:fldChar w:fldCharType="end"/>
      </w:r>
      <w:bookmarkEnd w:id="41"/>
      <w:r w:rsidRPr="006D26C1">
        <w:rPr>
          <w:i/>
          <w:color w:val="000000" w:themeColor="text1"/>
          <w:sz w:val="24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2" w:name="ТекстовоеПоле2"/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 xml:space="preserve"> (применимо при наличии вариативности нижеуказанных условий)</w:t>
      </w:r>
      <w:r w:rsidRPr="006D26C1">
        <w:rPr>
          <w:i/>
          <w:color w:val="000000" w:themeColor="text1"/>
          <w:sz w:val="24"/>
        </w:rPr>
        <w:fldChar w:fldCharType="end"/>
      </w:r>
      <w:bookmarkEnd w:id="42"/>
      <w:r w:rsidRPr="006D26C1">
        <w:rPr>
          <w:color w:val="000000" w:themeColor="text1"/>
          <w:sz w:val="24"/>
        </w:rPr>
        <w:t xml:space="preserve">: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(1)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3 года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43" w:name="ТекстовоеПоле3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 w:rsidRPr="006D26C1">
        <w:rPr>
          <w:color w:val="000000" w:themeColor="text1"/>
          <w:sz w:val="24"/>
        </w:rPr>
        <w:fldChar w:fldCharType="end"/>
      </w:r>
      <w:bookmarkEnd w:id="43"/>
      <w:r w:rsidRPr="006D26C1">
        <w:rPr>
          <w:color w:val="000000" w:themeColor="text1"/>
          <w:sz w:val="24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44" w:name="ТекстовоеПоле4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 рамках которых планируется Раскрытие Конфиденциальной Информации </w:t>
      </w:r>
      <w:r w:rsidRPr="006D26C1">
        <w:rPr>
          <w:color w:val="000000" w:themeColor="text1"/>
          <w:sz w:val="24"/>
        </w:rPr>
        <w:fldChar w:fldCharType="end"/>
      </w:r>
      <w:bookmarkEnd w:id="44"/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(пп. 2 применим только для Договоров/Соглашений, по которым предполагаются дальнейшие переговоры)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45" w:name="ТекстовоеПоле5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6D26C1">
        <w:rPr>
          <w:color w:val="000000" w:themeColor="text1"/>
          <w:sz w:val="24"/>
        </w:rPr>
        <w:fldChar w:fldCharType="end"/>
      </w:r>
      <w:bookmarkEnd w:id="45"/>
      <w:r w:rsidRPr="006D26C1">
        <w:rPr>
          <w:color w:val="000000" w:themeColor="text1"/>
          <w:sz w:val="24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46" w:name="ТекстовоеПоле6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 отношении которого Стороны заключили юридически обязывающее соглашение </w:t>
      </w:r>
      <w:r w:rsidRPr="006D26C1">
        <w:rPr>
          <w:color w:val="000000" w:themeColor="text1"/>
          <w:sz w:val="24"/>
        </w:rPr>
        <w:fldChar w:fldCharType="end"/>
      </w:r>
      <w:bookmarkEnd w:id="46"/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(пп. 3 применим только для Договоров/Соглашений, по которым предполагаются дальнейшие переговоры)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jc w:val="both"/>
        <w:rPr>
          <w:sz w:val="24"/>
          <w:szCs w:val="24"/>
        </w:rPr>
      </w:pP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223B9A">
      <w:pPr>
        <w:pStyle w:val="22"/>
        <w:numPr>
          <w:ilvl w:val="1"/>
          <w:numId w:val="26"/>
        </w:numPr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ED782E" w:rsidRPr="00223B9A" w:rsidRDefault="009A77C9" w:rsidP="00223B9A">
      <w:pPr>
        <w:pStyle w:val="22"/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8.2.</w:t>
      </w:r>
      <w:r w:rsidR="00DC2C76" w:rsidRPr="00223B9A">
        <w:rPr>
          <w:sz w:val="24"/>
          <w:lang w:val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В целях проведения антикоррупционных проверок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как стороны в договоре)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предоставить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F1406F" w:rsidRPr="00926C8D">
        <w:rPr>
          <w:sz w:val="24"/>
          <w:lang w:val="ru-RU"/>
        </w:rPr>
        <w:t>4</w:t>
      </w:r>
      <w:r w:rsidR="00DC2C76" w:rsidRPr="00223B9A">
        <w:rPr>
          <w:sz w:val="24"/>
          <w:lang w:val="ru-RU"/>
        </w:rPr>
        <w:t xml:space="preserve"> 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9A77C9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bookmarkStart w:id="47" w:name="ТекстовоеПоле7"/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контрагента как стороны в договоре)</w:t>
      </w:r>
      <w:r w:rsidR="009A77C9" w:rsidRPr="00223B9A">
        <w:rPr>
          <w:sz w:val="24"/>
          <w:lang w:val="ru-RU"/>
        </w:rPr>
        <w:fldChar w:fldCharType="end"/>
      </w:r>
      <w:bookmarkEnd w:id="47"/>
      <w:r w:rsidRPr="00223B9A">
        <w:rPr>
          <w:sz w:val="24"/>
          <w:lang w:val="ru-RU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предоставить 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F1406F" w:rsidRPr="00223B9A">
        <w:rPr>
          <w:sz w:val="24"/>
          <w:lang w:val="en-US"/>
        </w:rPr>
        <w:t>5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 </w:t>
      </w:r>
      <w:r w:rsidR="009A77C9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если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либо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возместить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C2C76" w:rsidRPr="00223B9A" w:rsidRDefault="00DC2C76" w:rsidP="00223B9A">
      <w:pPr>
        <w:pStyle w:val="22"/>
        <w:ind w:left="993" w:firstLine="426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FE2C33" w:rsidP="00223B9A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48" w:name="ТекстовоеПоле25"/>
      <w:r w:rsidR="005228D3" w:rsidRPr="00223B9A">
        <w:rPr>
          <w:sz w:val="24"/>
          <w:lang w:val="ru-RU"/>
        </w:rPr>
        <w:t xml:space="preserve"> </w:t>
      </w:r>
      <w:bookmarkEnd w:id="48"/>
      <w:r w:rsidR="009A77C9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49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bookmarkEnd w:id="49"/>
      <w:r w:rsidR="005228D3" w:rsidRPr="00223B9A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договор</w:t>
      </w:r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50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9A77C9" w:rsidRPr="00223B9A">
        <w:rPr>
          <w:sz w:val="24"/>
          <w:szCs w:val="24"/>
        </w:rPr>
        <w:fldChar w:fldCharType="end"/>
      </w:r>
      <w:bookmarkEnd w:id="50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4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Информация о це</w:t>
      </w:r>
      <w:r w:rsidR="006421D9" w:rsidRPr="00223B9A">
        <w:rPr>
          <w:sz w:val="24"/>
          <w:szCs w:val="24"/>
        </w:rPr>
        <w:t>почке собственников контрагента;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5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223B9A">
        <w:rPr>
          <w:sz w:val="24"/>
          <w:szCs w:val="24"/>
        </w:rPr>
        <w:t>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№6.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51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r w:rsidR="00EF56BD" w:rsidRPr="00223B9A">
        <w:rPr>
          <w:noProof/>
          <w:sz w:val="24"/>
          <w:szCs w:val="24"/>
          <w:highlight w:val="lightGray"/>
        </w:rPr>
        <w:t>–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51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r w:rsidR="00B108B1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52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52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№7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зданий</w:t>
      </w:r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сооружений) по форме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9A77C9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B062B2">
        <w:rPr>
          <w:sz w:val="24"/>
          <w:szCs w:val="24"/>
          <w:highlight w:val="lightGray"/>
        </w:rPr>
        <w:fldChar w:fldCharType="end"/>
      </w:r>
    </w:p>
    <w:p w:rsidR="003A5325" w:rsidRPr="002E785C" w:rsidRDefault="00025278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E785C">
        <w:rPr>
          <w:sz w:val="24"/>
          <w:szCs w:val="24"/>
        </w:rPr>
        <w:t>Приложение №</w:t>
      </w:r>
      <w:r w:rsidR="00B062B2" w:rsidRPr="002E785C">
        <w:rPr>
          <w:sz w:val="24"/>
          <w:szCs w:val="24"/>
        </w:rPr>
        <w:t>8</w:t>
      </w:r>
      <w:r w:rsidRPr="002E785C">
        <w:rPr>
          <w:sz w:val="24"/>
          <w:szCs w:val="24"/>
        </w:rPr>
        <w:t xml:space="preserve">. Форма Акта </w:t>
      </w:r>
      <w:r w:rsidR="00DB3E21" w:rsidRPr="002E785C">
        <w:rPr>
          <w:sz w:val="24"/>
          <w:szCs w:val="24"/>
        </w:rPr>
        <w:t xml:space="preserve">о </w:t>
      </w:r>
      <w:r w:rsidRPr="002E785C">
        <w:rPr>
          <w:sz w:val="24"/>
          <w:szCs w:val="24"/>
        </w:rPr>
        <w:t>прием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>-передач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 xml:space="preserve"> </w:t>
      </w:r>
      <w:r w:rsidR="00DB3E21" w:rsidRPr="002E785C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E785C">
        <w:rPr>
          <w:sz w:val="24"/>
          <w:szCs w:val="24"/>
        </w:rPr>
        <w:t xml:space="preserve">по форме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53" w:name="ТекстовоеПоле73"/>
      <w:r w:rsidR="00EF56BD"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="00EF56BD" w:rsidRPr="002E785C">
        <w:rPr>
          <w:noProof/>
          <w:sz w:val="24"/>
          <w:szCs w:val="24"/>
          <w:highlight w:val="lightGray"/>
        </w:rPr>
        <w:t>ОС –</w:t>
      </w:r>
      <w:r w:rsidR="009A77C9" w:rsidRPr="002E785C">
        <w:rPr>
          <w:sz w:val="24"/>
          <w:szCs w:val="24"/>
          <w:highlight w:val="lightGray"/>
        </w:rPr>
        <w:fldChar w:fldCharType="end"/>
      </w:r>
      <w:bookmarkEnd w:id="53"/>
      <w:r w:rsidR="00DB3E21" w:rsidRPr="002E785C">
        <w:rPr>
          <w:sz w:val="24"/>
          <w:szCs w:val="24"/>
          <w:highlight w:val="lightGray"/>
        </w:rPr>
        <w:t xml:space="preserve">1б.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Pr="002E785C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E785C">
        <w:rPr>
          <w:sz w:val="24"/>
          <w:szCs w:val="24"/>
          <w:highlight w:val="lightGray"/>
        </w:rPr>
        <w:fldChar w:fldCharType="end"/>
      </w:r>
    </w:p>
    <w:p w:rsid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№9.</w:t>
      </w:r>
      <w:r w:rsidRPr="002E785C">
        <w:rPr>
          <w:sz w:val="24"/>
          <w:szCs w:val="24"/>
        </w:rPr>
        <w:t>Форма Акта приема-передачи документов, содержащих сведения конфиденциального характера.</w:t>
      </w:r>
    </w:p>
    <w:p w:rsidR="002E785C" w:rsidRP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</w:p>
    <w:p w:rsidR="005228D3" w:rsidRPr="00223B9A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9A77C9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54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54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9A77C9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55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55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56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56"/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F3" w:rsidRDefault="00CF5EF3">
      <w:r>
        <w:separator/>
      </w:r>
    </w:p>
  </w:endnote>
  <w:endnote w:type="continuationSeparator" w:id="0">
    <w:p w:rsidR="00CF5EF3" w:rsidRDefault="00CF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135F6" w:rsidRDefault="000135F6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 w:rsidP="00A572DC">
    <w:pPr>
      <w:pStyle w:val="a3"/>
    </w:pPr>
    <w:r>
      <w:t>Стандартный договор купли-продажи-имущества</w:t>
    </w:r>
  </w:p>
  <w:p w:rsidR="000135F6" w:rsidRDefault="000135F6" w:rsidP="00A572DC">
    <w:pPr>
      <w:pStyle w:val="a3"/>
    </w:pPr>
    <w:r>
      <w:t>Рег. № 89.1</w:t>
    </w:r>
    <w:r w:rsidRPr="00A572DC">
      <w:t>8</w:t>
    </w:r>
    <w:r>
      <w:t>\</w:t>
    </w:r>
    <w:r w:rsidRPr="00A572DC">
      <w:t>26</w:t>
    </w:r>
    <w:r>
      <w:t>5.00.</w:t>
    </w:r>
    <w:r w:rsidRPr="00A572DC">
      <w:t>2</w:t>
    </w:r>
    <w:r>
      <w:t>.</w:t>
    </w:r>
  </w:p>
  <w:p w:rsidR="000135F6" w:rsidRDefault="000135F6">
    <w:pPr>
      <w:pStyle w:val="a3"/>
    </w:pPr>
  </w:p>
  <w:p w:rsidR="000135F6" w:rsidRDefault="000135F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75" w:rsidRDefault="002005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F3" w:rsidRDefault="00CF5EF3">
      <w:r>
        <w:separator/>
      </w:r>
    </w:p>
  </w:footnote>
  <w:footnote w:type="continuationSeparator" w:id="0">
    <w:p w:rsidR="00CF5EF3" w:rsidRDefault="00CF5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75" w:rsidRDefault="0020057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75" w:rsidRDefault="00200575">
    <w:pPr>
      <w:pStyle w:val="af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75" w:rsidRDefault="0020057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BC9"/>
    <w:multiLevelType w:val="hybridMultilevel"/>
    <w:tmpl w:val="C16E1120"/>
    <w:lvl w:ilvl="0" w:tplc="7E002F8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4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E73079"/>
    <w:multiLevelType w:val="hybridMultilevel"/>
    <w:tmpl w:val="6D6A055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7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6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0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9"/>
  </w:num>
  <w:num w:numId="4">
    <w:abstractNumId w:val="12"/>
  </w:num>
  <w:num w:numId="5">
    <w:abstractNumId w:val="17"/>
  </w:num>
  <w:num w:numId="6">
    <w:abstractNumId w:val="31"/>
  </w:num>
  <w:num w:numId="7">
    <w:abstractNumId w:val="35"/>
  </w:num>
  <w:num w:numId="8">
    <w:abstractNumId w:val="2"/>
  </w:num>
  <w:num w:numId="9">
    <w:abstractNumId w:val="24"/>
  </w:num>
  <w:num w:numId="10">
    <w:abstractNumId w:val="27"/>
  </w:num>
  <w:num w:numId="11">
    <w:abstractNumId w:val="22"/>
  </w:num>
  <w:num w:numId="12">
    <w:abstractNumId w:val="28"/>
  </w:num>
  <w:num w:numId="13">
    <w:abstractNumId w:val="4"/>
  </w:num>
  <w:num w:numId="14">
    <w:abstractNumId w:val="21"/>
  </w:num>
  <w:num w:numId="15">
    <w:abstractNumId w:val="8"/>
  </w:num>
  <w:num w:numId="16">
    <w:abstractNumId w:val="34"/>
  </w:num>
  <w:num w:numId="17">
    <w:abstractNumId w:val="14"/>
  </w:num>
  <w:num w:numId="18">
    <w:abstractNumId w:val="36"/>
  </w:num>
  <w:num w:numId="19">
    <w:abstractNumId w:val="1"/>
  </w:num>
  <w:num w:numId="20">
    <w:abstractNumId w:val="5"/>
  </w:num>
  <w:num w:numId="21">
    <w:abstractNumId w:val="18"/>
  </w:num>
  <w:num w:numId="22">
    <w:abstractNumId w:val="10"/>
  </w:num>
  <w:num w:numId="23">
    <w:abstractNumId w:val="25"/>
  </w:num>
  <w:num w:numId="24">
    <w:abstractNumId w:val="7"/>
  </w:num>
  <w:num w:numId="25">
    <w:abstractNumId w:val="32"/>
  </w:num>
  <w:num w:numId="26">
    <w:abstractNumId w:val="3"/>
  </w:num>
  <w:num w:numId="27">
    <w:abstractNumId w:val="29"/>
  </w:num>
  <w:num w:numId="28">
    <w:abstractNumId w:val="11"/>
  </w:num>
  <w:num w:numId="29">
    <w:abstractNumId w:val="26"/>
  </w:num>
  <w:num w:numId="30">
    <w:abstractNumId w:val="33"/>
  </w:num>
  <w:num w:numId="31">
    <w:abstractNumId w:val="20"/>
  </w:num>
  <w:num w:numId="32">
    <w:abstractNumId w:val="23"/>
  </w:num>
  <w:num w:numId="33">
    <w:abstractNumId w:val="13"/>
  </w:num>
  <w:num w:numId="34">
    <w:abstractNumId w:val="6"/>
  </w:num>
  <w:num w:numId="35">
    <w:abstractNumId w:val="16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cumentProtection w:edit="forms" w:enforcement="1" w:cryptProviderType="rsaAES" w:cryptAlgorithmClass="hash" w:cryptAlgorithmType="typeAny" w:cryptAlgorithmSid="14" w:cryptSpinCount="100000" w:hash="8or5382F1/SeIGUWa0rFhb0k6pKEwOnoKpJboIYrsNrq699l7E123ogMtasfnXRDOr9iP5xLYdw6t0TLfiB+3g==" w:salt="w/zSocUgGRB4vr3NoUae7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C33"/>
    <w:rsid w:val="00000695"/>
    <w:rsid w:val="000135F6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0575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0275"/>
    <w:rsid w:val="00262E49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85C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12D"/>
    <w:rsid w:val="00335FE4"/>
    <w:rsid w:val="00344182"/>
    <w:rsid w:val="00344B14"/>
    <w:rsid w:val="0034759F"/>
    <w:rsid w:val="003523F3"/>
    <w:rsid w:val="00355EDE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5A4C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26C1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6DE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862CB"/>
    <w:rsid w:val="0099031F"/>
    <w:rsid w:val="009A77C9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0755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9A5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D0AF0"/>
    <w:rsid w:val="00CE07C1"/>
    <w:rsid w:val="00CE3442"/>
    <w:rsid w:val="00CE3CEF"/>
    <w:rsid w:val="00CE4285"/>
    <w:rsid w:val="00CE4B22"/>
    <w:rsid w:val="00CE6000"/>
    <w:rsid w:val="00CE6B5F"/>
    <w:rsid w:val="00CF0BC1"/>
    <w:rsid w:val="00CF5EF3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26DAF"/>
    <w:rsid w:val="00D327CD"/>
    <w:rsid w:val="00D42915"/>
    <w:rsid w:val="00D43818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08A3"/>
    <w:rsid w:val="00DF4416"/>
    <w:rsid w:val="00DF50EE"/>
    <w:rsid w:val="00E05067"/>
    <w:rsid w:val="00E11DF3"/>
    <w:rsid w:val="00E12B22"/>
    <w:rsid w:val="00E16B1A"/>
    <w:rsid w:val="00E1738E"/>
    <w:rsid w:val="00E179FF"/>
    <w:rsid w:val="00E277DB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257EA45-837A-4447-A2AB-3243E130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Обычный1"/>
    <w:uiPriority w:val="99"/>
    <w:rsid w:val="00355EDE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143B3-B001-42B4-B406-8EB6C4F4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6867</Words>
  <Characters>39145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45921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Евсеева Нина Михайловна</cp:lastModifiedBy>
  <cp:revision>2</cp:revision>
  <cp:lastPrinted>2018-12-14T10:12:00Z</cp:lastPrinted>
  <dcterms:created xsi:type="dcterms:W3CDTF">2023-06-08T12:40:00Z</dcterms:created>
  <dcterms:modified xsi:type="dcterms:W3CDTF">2023-06-08T12:40:00Z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P87DSCTxrhdX00002X16PW</vt:lpwstr>
  </property>
</Properties>
</file>