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DAE" w:rsidRPr="00C0430C" w:rsidRDefault="00F42DAE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F42DAE" w:rsidRDefault="00F42DAE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F42DAE" w:rsidRPr="00C0430C" w:rsidRDefault="00F42DAE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F42DAE" w:rsidRPr="00C0430C" w:rsidRDefault="00F42DAE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2DAE" w:rsidRPr="00C0430C" w:rsidRDefault="00F42DAE" w:rsidP="001436CA">
      <w:pPr>
        <w:pStyle w:val="a5"/>
      </w:pPr>
      <w:r w:rsidRPr="00C0430C"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bookmarkEnd w:id="1"/>
      <w:r w:rsidRPr="00C0430C">
        <w:t xml:space="preserve">                                                                     </w:t>
      </w:r>
      <w:r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 w:rsidRPr="00C0430C"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  </w:t>
      </w:r>
      <w:r w:rsidRPr="00C0430C">
        <w:t>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</w:t>
      </w:r>
      <w:r>
        <w:fldChar w:fldCharType="end"/>
      </w:r>
      <w:r w:rsidRPr="00C0430C">
        <w:t>год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42DAE" w:rsidRPr="00C0430C" w:rsidRDefault="00F42DAE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42DAE" w:rsidRPr="00C0430C" w:rsidRDefault="00F42DAE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F42DAE" w:rsidRDefault="00F42DAE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>
        <w:t xml:space="preserve">ликвидные и неликвидные товарно-материальные ценности </w:t>
      </w:r>
      <w:r w:rsidRPr="00C0430C">
        <w:rPr>
          <w:color w:val="000000"/>
        </w:rPr>
        <w:t>(далее по тексту–ТМЦ)</w:t>
      </w:r>
      <w:r w:rsidRPr="00C0430C">
        <w:t xml:space="preserve"> </w:t>
      </w:r>
      <w:r>
        <w:t xml:space="preserve">в количестве, ассортименте, качестве, </w:t>
      </w:r>
      <w:proofErr w:type="gramStart"/>
      <w:r>
        <w:t>по  цене</w:t>
      </w:r>
      <w:proofErr w:type="gramEnd"/>
      <w:r>
        <w:t xml:space="preserve">, </w:t>
      </w:r>
      <w:r w:rsidRPr="00C0430C">
        <w:t>предусмотренны</w:t>
      </w:r>
      <w:r>
        <w:t>х</w:t>
      </w:r>
      <w:r w:rsidRPr="00C0430C">
        <w:t xml:space="preserve"> Приложением № 1</w:t>
      </w:r>
      <w:r>
        <w:t>(Спецификацией)</w:t>
      </w:r>
      <w:r w:rsidRPr="00C0430C">
        <w:t xml:space="preserve"> к настоящему Договору. </w:t>
      </w:r>
    </w:p>
    <w:p w:rsidR="00F42DAE" w:rsidRDefault="00F42DAE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</w:t>
      </w:r>
      <w:proofErr w:type="gramStart"/>
      <w:r>
        <w:t>ликвидные  ТМЦ</w:t>
      </w:r>
      <w:proofErr w:type="gramEnd"/>
      <w:r>
        <w:t xml:space="preserve"> - </w:t>
      </w:r>
      <w:r w:rsidRPr="00AA5ED9">
        <w:t xml:space="preserve">не бывшие в употреблении, </w:t>
      </w:r>
      <w:r w:rsidRPr="00B34445">
        <w:t xml:space="preserve">пригодные для использования по прямому назначению, но невостребованные текущей деятельностью </w:t>
      </w:r>
      <w:r>
        <w:t>Продавца</w:t>
      </w:r>
      <w:r w:rsidRPr="00C0430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ТМЦ.</w:t>
      </w:r>
    </w:p>
    <w:p w:rsidR="00F42DAE" w:rsidRDefault="00F42DAE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D209AD">
        <w:t>не пригодные для использования по прямому назначению</w:t>
      </w:r>
      <w:r>
        <w:t xml:space="preserve"> ТМЦ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ТМЦ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ТМЦ</w:t>
      </w:r>
      <w:r w:rsidRPr="00963825">
        <w:t xml:space="preserve"> относится лом черных и цветных металлов</w:t>
      </w:r>
      <w:r>
        <w:t>.</w:t>
      </w:r>
    </w:p>
    <w:p w:rsidR="00F42DAE" w:rsidRPr="00C0430C" w:rsidRDefault="00F42DAE" w:rsidP="00C0430C">
      <w:pPr>
        <w:pStyle w:val="a3"/>
        <w:tabs>
          <w:tab w:val="left" w:pos="900"/>
        </w:tabs>
      </w:pPr>
      <w:r w:rsidRPr="00C0430C">
        <w:t>1.</w:t>
      </w:r>
      <w:r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F42DAE" w:rsidRPr="00C0430C" w:rsidRDefault="00F42DAE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F42DAE" w:rsidRPr="00C0430C" w:rsidRDefault="00F42DAE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F42DAE" w:rsidRDefault="00F42DAE" w:rsidP="00C0430C">
      <w:pPr>
        <w:pStyle w:val="a9"/>
        <w:spacing w:after="0"/>
        <w:ind w:left="0"/>
        <w:jc w:val="both"/>
      </w:pPr>
      <w:r w:rsidRPr="00C0430C">
        <w:t>2.1. П</w:t>
      </w:r>
      <w:r>
        <w:t xml:space="preserve">ередача 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>
        <w:t>следующем порядке:</w:t>
      </w:r>
    </w:p>
    <w:p w:rsidR="00F42DAE" w:rsidRDefault="00F42DAE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>
        <w:instrText xml:space="preserve"> FORMTEXT </w:instrText>
      </w:r>
      <w:r>
        <w:fldChar w:fldCharType="separate"/>
      </w:r>
      <w:r>
        <w:t>100</w:t>
      </w:r>
      <w:r>
        <w:rPr>
          <w:noProof/>
        </w:rPr>
        <w:t>%</w:t>
      </w:r>
      <w:r>
        <w:fldChar w:fldCharType="end"/>
      </w:r>
      <w:bookmarkEnd w:id="2"/>
      <w:r>
        <w:t xml:space="preserve"> от общей стоимости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</w:t>
      </w:r>
      <w:proofErr w:type="gramStart"/>
      <w:r>
        <w:t xml:space="preserve">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>
        <w:instrText xml:space="preserve"> FORMTEXT </w:instrText>
      </w:r>
      <w:r>
        <w:fldChar w:fldCharType="separate"/>
      </w:r>
      <w:r>
        <w:rPr>
          <w:noProof/>
        </w:rPr>
        <w:t xml:space="preserve"> 45</w:t>
      </w:r>
      <w:proofErr w:type="gramEnd"/>
      <w:r>
        <w:rPr>
          <w:noProof/>
        </w:rPr>
        <w:t xml:space="preserve"> </w:t>
      </w:r>
      <w:r>
        <w:fldChar w:fldCharType="end"/>
      </w:r>
      <w:bookmarkEnd w:id="3"/>
      <w:r>
        <w:t xml:space="preserve"> календарных дней </w:t>
      </w:r>
      <w:r w:rsidRPr="00C0430C">
        <w:t xml:space="preserve"> с момента поступления </w:t>
      </w:r>
      <w:r>
        <w:t xml:space="preserve">оплаты в размере </w:t>
      </w:r>
      <w: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>
        <w:instrText xml:space="preserve"> FORMTEXT </w:instrText>
      </w:r>
      <w:r>
        <w:fldChar w:fldCharType="separate"/>
      </w:r>
      <w:r>
        <w:rPr>
          <w:noProof/>
        </w:rPr>
        <w:t xml:space="preserve"> 100% </w:t>
      </w:r>
      <w:r>
        <w:fldChar w:fldCharType="end"/>
      </w:r>
      <w:bookmarkEnd w:id="4"/>
      <w:r w:rsidRPr="00C0430C">
        <w:t xml:space="preserve"> </w:t>
      </w:r>
      <w:r>
        <w:t>от общей стоимости всех</w:t>
      </w:r>
      <w:r w:rsidRPr="00C0430C">
        <w:t xml:space="preserve"> Т</w:t>
      </w:r>
      <w:r>
        <w:t xml:space="preserve">МЦ,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F42DAE" w:rsidRDefault="00F42DAE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</w:t>
      </w:r>
      <w:proofErr w:type="gramStart"/>
      <w:r>
        <w:t xml:space="preserve">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0</w:t>
      </w:r>
      <w:proofErr w:type="gramEnd"/>
      <w:r>
        <w:rPr>
          <w:noProof/>
        </w:rPr>
        <w:t xml:space="preserve">% </w:t>
      </w:r>
      <w:r>
        <w:fldChar w:fldCharType="end"/>
      </w:r>
      <w:bookmarkEnd w:id="5"/>
      <w:r>
        <w:t xml:space="preserve"> от общей стоимости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45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F42DAE" w:rsidRPr="00C0430C" w:rsidRDefault="00F42DAE" w:rsidP="00C0430C">
      <w:pPr>
        <w:pStyle w:val="a9"/>
        <w:spacing w:after="0"/>
        <w:ind w:left="0"/>
        <w:jc w:val="both"/>
      </w:pPr>
      <w:r w:rsidRPr="00C0430C">
        <w:t>2.</w:t>
      </w:r>
      <w:r>
        <w:t>2</w:t>
      </w:r>
      <w:r w:rsidRPr="00C0430C">
        <w:t>. Выборка Т</w:t>
      </w:r>
      <w:r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>
        <w:t xml:space="preserve"> в сроки, указанные в соответствующем Приложении (Спецификации</w:t>
      </w:r>
      <w:r w:rsidRPr="007D4FB7">
        <w:t xml:space="preserve">) Стороны допускают отклонение количества ТМЦ в сторону его уменьшения не более чем на </w:t>
      </w:r>
      <w:r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Pr="007D4FB7">
        <w:instrText xml:space="preserve"> FORMTEXT </w:instrText>
      </w:r>
      <w:r w:rsidRPr="007D4FB7">
        <w:fldChar w:fldCharType="separate"/>
      </w:r>
      <w:r>
        <w:rPr>
          <w:noProof/>
        </w:rPr>
        <w:t xml:space="preserve">  </w:t>
      </w:r>
      <w:proofErr w:type="gramStart"/>
      <w:r>
        <w:rPr>
          <w:noProof/>
        </w:rPr>
        <w:t xml:space="preserve">5  </w:t>
      </w:r>
      <w:r w:rsidRPr="007D4FB7">
        <w:fldChar w:fldCharType="end"/>
      </w:r>
      <w:bookmarkEnd w:id="6"/>
      <w:r w:rsidRPr="007D4FB7">
        <w:t>%</w:t>
      </w:r>
      <w:proofErr w:type="gramEnd"/>
      <w:r w:rsidRPr="007D4FB7">
        <w:t xml:space="preserve">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>
        <w:t>МЦ</w:t>
      </w:r>
      <w:r w:rsidRPr="00C0430C">
        <w:t xml:space="preserve"> счита</w:t>
      </w:r>
      <w:r>
        <w:t>ю</w:t>
      </w:r>
      <w:r w:rsidRPr="00C0430C">
        <w:t>тся переданным</w:t>
      </w:r>
      <w:r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>
        <w:t>и</w:t>
      </w:r>
      <w:r w:rsidRPr="00C0430C">
        <w:t xml:space="preserve"> </w:t>
      </w:r>
      <w:r w:rsidRPr="00C0430C">
        <w:rPr>
          <w:b/>
        </w:rPr>
        <w:lastRenderedPageBreak/>
        <w:t xml:space="preserve">Покупателем </w:t>
      </w:r>
      <w:r w:rsidRPr="00A87926">
        <w:t xml:space="preserve">по </w:t>
      </w:r>
      <w:r w:rsidRPr="00C0430C">
        <w:t>количеств</w:t>
      </w:r>
      <w:r>
        <w:t>у</w:t>
      </w:r>
      <w:r w:rsidRPr="00C0430C">
        <w:t>, указанн</w:t>
      </w:r>
      <w:r>
        <w:t>о</w:t>
      </w:r>
      <w:r w:rsidRPr="00C0430C">
        <w:t>м</w:t>
      </w:r>
      <w:r>
        <w:t>у</w:t>
      </w:r>
      <w:r w:rsidRPr="00C0430C">
        <w:t xml:space="preserve"> в первичных документах, перечисленных в п. 5.2.2 настоящего Договора. </w:t>
      </w:r>
    </w:p>
    <w:p w:rsidR="00F42DAE" w:rsidRPr="00C0430C" w:rsidRDefault="00F42DAE" w:rsidP="00C0430C">
      <w:pPr>
        <w:pStyle w:val="a9"/>
        <w:spacing w:after="0"/>
        <w:ind w:left="0"/>
        <w:jc w:val="both"/>
      </w:pPr>
      <w:r>
        <w:t>2.3</w:t>
      </w:r>
      <w:r w:rsidRPr="00C0430C">
        <w:t xml:space="preserve">. </w:t>
      </w:r>
      <w:r>
        <w:t xml:space="preserve">Невостребованные ликвидные </w:t>
      </w:r>
      <w:r w:rsidRPr="00C0430C">
        <w:t>Т</w:t>
      </w:r>
      <w:r>
        <w:t>МЦ</w:t>
      </w:r>
      <w:r w:rsidRPr="00C0430C">
        <w:t xml:space="preserve"> переда</w:t>
      </w:r>
      <w:r>
        <w:t>ю</w:t>
      </w:r>
      <w:r w:rsidRPr="00C0430C">
        <w:t xml:space="preserve">тся в состоянии, позволяющем </w:t>
      </w:r>
      <w:r>
        <w:t>их</w:t>
      </w:r>
      <w:r w:rsidRPr="00C0430C">
        <w:t xml:space="preserve"> эксплуатацию в соответствии с назначением Т</w:t>
      </w:r>
      <w:r>
        <w:t>МЦ</w:t>
      </w:r>
      <w:r w:rsidRPr="00C0430C">
        <w:t xml:space="preserve">. </w:t>
      </w:r>
      <w:r>
        <w:t>Качество невостребованных ликвидных ТМЦ</w:t>
      </w:r>
      <w:r w:rsidRPr="00C0430C">
        <w:t xml:space="preserve"> </w:t>
      </w:r>
      <w:r>
        <w:t>мо</w:t>
      </w:r>
      <w:r w:rsidRPr="00C0430C">
        <w:t>жет не соответствовать ГОСТам, техническим условиям на данный вид Т</w:t>
      </w:r>
      <w:r>
        <w:t>МЦ</w:t>
      </w:r>
      <w:r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Pr="00C0430C">
        <w:rPr>
          <w:b/>
        </w:rPr>
        <w:t>Покупателю</w:t>
      </w:r>
      <w:r w:rsidRPr="00C0430C">
        <w:t>.</w:t>
      </w:r>
    </w:p>
    <w:p w:rsidR="00F42DAE" w:rsidRPr="00C0430C" w:rsidRDefault="00F42DAE" w:rsidP="00C0430C">
      <w:pPr>
        <w:pStyle w:val="a9"/>
        <w:spacing w:after="0"/>
        <w:ind w:left="0"/>
        <w:jc w:val="both"/>
      </w:pPr>
      <w:r w:rsidRPr="00C0430C">
        <w:t>2.</w:t>
      </w:r>
      <w:r>
        <w:t>4</w:t>
      </w:r>
      <w:r w:rsidRPr="00C0430C">
        <w:t xml:space="preserve">. Право </w:t>
      </w:r>
      <w:proofErr w:type="gramStart"/>
      <w:r w:rsidRPr="00C0430C">
        <w:t xml:space="preserve">собственности  </w:t>
      </w:r>
      <w:r>
        <w:t>в</w:t>
      </w:r>
      <w:proofErr w:type="gramEnd"/>
      <w:r>
        <w:t xml:space="preserve"> отношении передаваемых по настоящему Договору ТМЦ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F42DAE" w:rsidRPr="00FF2BBE" w:rsidRDefault="00F42DA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выборки ТМЦ, установленного в п.2.2. настоящего Договора.</w:t>
      </w:r>
    </w:p>
    <w:p w:rsidR="00F42DAE" w:rsidRPr="00C0430C" w:rsidRDefault="00F42DAE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F42DAE" w:rsidRPr="00C0430C" w:rsidRDefault="00F42DAE" w:rsidP="00C0430C">
      <w:pPr>
        <w:pStyle w:val="a3"/>
        <w:tabs>
          <w:tab w:val="left" w:pos="900"/>
        </w:tabs>
      </w:pPr>
      <w:r w:rsidRPr="00C0430C">
        <w:t>3.1. Т</w:t>
      </w:r>
      <w:r>
        <w:t>МЦ</w:t>
      </w:r>
      <w:r w:rsidRPr="00C0430C">
        <w:t xml:space="preserve"> по настоящему Договору оплачива</w:t>
      </w:r>
      <w:r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F42DAE" w:rsidRPr="00932DC7" w:rsidRDefault="00F42DAE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7" w:name="ТекстовоеПоле766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</w:t>
      </w:r>
      <w:r>
        <w:rPr>
          <w:i/>
          <w:color w:val="FF0000"/>
        </w:rPr>
        <w:fldChar w:fldCharType="end"/>
      </w:r>
      <w:bookmarkEnd w:id="7"/>
    </w:p>
    <w:p w:rsidR="00F42DAE" w:rsidRPr="00BD6E1A" w:rsidRDefault="00F42DAE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9"/>
    </w:p>
    <w:p w:rsidR="00F42DAE" w:rsidRPr="00932DC7" w:rsidRDefault="00F42DAE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0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0"/>
    </w:p>
    <w:p w:rsidR="00F42DAE" w:rsidRPr="00932DC7" w:rsidRDefault="00F42DAE" w:rsidP="00914D31">
      <w:pPr>
        <w:pStyle w:val="a5"/>
        <w:jc w:val="both"/>
      </w:pPr>
    </w:p>
    <w:p w:rsidR="00F42DAE" w:rsidRDefault="00F42DAE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1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1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2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2"/>
      <w:r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3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3"/>
    </w:p>
    <w:p w:rsidR="00F42DAE" w:rsidRPr="003059BF" w:rsidRDefault="00F42DAE" w:rsidP="00914D31">
      <w:pPr>
        <w:pStyle w:val="a5"/>
        <w:jc w:val="both"/>
      </w:pPr>
    </w:p>
    <w:p w:rsidR="00F42DAE" w:rsidRPr="00C0430C" w:rsidRDefault="00F42DAE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F42DAE" w:rsidRPr="00C0430C" w:rsidRDefault="00F42DAE" w:rsidP="00C0430C">
      <w:pPr>
        <w:pStyle w:val="a3"/>
        <w:tabs>
          <w:tab w:val="left" w:pos="900"/>
        </w:tabs>
      </w:pPr>
      <w:r w:rsidRPr="00C0430C">
        <w:t>4.1. Оплата Т</w:t>
      </w:r>
      <w:r>
        <w:t>МЦ</w:t>
      </w:r>
      <w:r w:rsidRPr="00C0430C">
        <w:t xml:space="preserve"> осуществляется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4" w:name="ТекстовоеПоле759"/>
      <w:r>
        <w:instrText xml:space="preserve"> FORMTEXT </w:instrText>
      </w:r>
      <w:r>
        <w:fldChar w:fldCharType="separate"/>
      </w:r>
      <w:r>
        <w:t xml:space="preserve">по </w:t>
      </w:r>
      <w:r>
        <w:rPr>
          <w:noProof/>
        </w:rPr>
        <w:t>100% предоплате за весь Товар, указанный в Приложении №1 к настоящему Договору в течение 5 рабочих дней с момента заключения настоящего Договора согласно выставленного счета</w:t>
      </w:r>
      <w:r>
        <w:fldChar w:fldCharType="end"/>
      </w:r>
      <w:bookmarkEnd w:id="14"/>
      <w:r>
        <w:t xml:space="preserve">, путем перечисления денежных средств на расчетный счет </w:t>
      </w:r>
      <w:r w:rsidRPr="001E25CF">
        <w:rPr>
          <w:b/>
        </w:rPr>
        <w:t>Продавца</w:t>
      </w:r>
      <w:r>
        <w:rPr>
          <w:b/>
        </w:rPr>
        <w:t>,</w:t>
      </w:r>
      <w:r>
        <w:t xml:space="preserve"> </w:t>
      </w:r>
      <w:r w:rsidRPr="00C0430C">
        <w:t>указанный в настоящем Договоре, на основании счета</w:t>
      </w:r>
      <w:r>
        <w:t xml:space="preserve">. </w:t>
      </w:r>
      <w:r w:rsidRPr="001E25CF">
        <w:rPr>
          <w:b/>
        </w:rPr>
        <w:t>Покупатель</w:t>
      </w:r>
      <w:r>
        <w:t xml:space="preserve"> имеет право на осуществление 1</w:t>
      </w:r>
      <w:r w:rsidRPr="00C0430C">
        <w:t xml:space="preserve">00% предварительной оплаты </w:t>
      </w:r>
      <w:r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F42DAE" w:rsidRDefault="00F42DAE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F42DAE" w:rsidRDefault="00F42DAE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ТМЦ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5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noProof/>
          <w:sz w:val="24"/>
          <w:szCs w:val="24"/>
        </w:rPr>
        <w:t xml:space="preserve"> (пяти)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5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 w:rsidRPr="00081F14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F42DAE" w:rsidRDefault="00F42DAE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ТМЦ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 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100</w:t>
      </w:r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F42DAE" w:rsidRPr="00C0430C" w:rsidRDefault="00F42DAE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Pr="00914D31" w:rsidRDefault="00F42DAE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F42DAE" w:rsidRPr="00914D31" w:rsidRDefault="00F42DAE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Pr="00914D31">
        <w:rPr>
          <w:highlight w:val="lightGray"/>
        </w:rPr>
        <w:t>.</w:t>
      </w:r>
    </w:p>
    <w:p w:rsidR="00F42DAE" w:rsidRDefault="00F42DAE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4.5. </w:t>
      </w:r>
      <w:r w:rsidRPr="00B74FD3">
        <w:rPr>
          <w:rFonts w:ascii="Times New Roman" w:hAnsi="Times New Roman"/>
          <w:b/>
          <w:sz w:val="24"/>
          <w:szCs w:val="24"/>
        </w:rPr>
        <w:t>Покупатель</w:t>
      </w:r>
      <w:r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Pr="00B74FD3">
        <w:rPr>
          <w:rFonts w:ascii="Times New Roman" w:hAnsi="Times New Roman"/>
          <w:b/>
          <w:sz w:val="24"/>
          <w:szCs w:val="24"/>
        </w:rPr>
        <w:t>Продавца</w:t>
      </w:r>
      <w:r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Pr="00B74FD3">
        <w:rPr>
          <w:rFonts w:ascii="Times New Roman" w:hAnsi="Times New Roman"/>
          <w:b/>
          <w:sz w:val="24"/>
          <w:szCs w:val="24"/>
        </w:rPr>
        <w:t>Продавец</w:t>
      </w:r>
      <w:r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Pr="00B74FD3">
        <w:rPr>
          <w:rFonts w:ascii="Times New Roman" w:hAnsi="Times New Roman"/>
          <w:b/>
          <w:sz w:val="24"/>
          <w:szCs w:val="24"/>
        </w:rPr>
        <w:t>Покупателя</w:t>
      </w:r>
      <w:r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Pr="00B74FD3">
        <w:rPr>
          <w:rFonts w:ascii="Times New Roman" w:hAnsi="Times New Roman"/>
          <w:b/>
          <w:sz w:val="24"/>
          <w:szCs w:val="24"/>
        </w:rPr>
        <w:t>Покупателя</w:t>
      </w:r>
      <w:r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Pr="00B74FD3">
        <w:rPr>
          <w:rFonts w:ascii="Times New Roman" w:hAnsi="Times New Roman"/>
          <w:b/>
          <w:sz w:val="24"/>
          <w:szCs w:val="24"/>
        </w:rPr>
        <w:t>Продавца</w:t>
      </w:r>
      <w:r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Pr="00B74FD3">
        <w:rPr>
          <w:rFonts w:ascii="Times New Roman" w:hAnsi="Times New Roman"/>
          <w:b/>
          <w:sz w:val="24"/>
          <w:szCs w:val="24"/>
        </w:rPr>
        <w:t>Покупател</w:t>
      </w:r>
      <w:r w:rsidRPr="00BD5876">
        <w:rPr>
          <w:rFonts w:ascii="Times New Roman" w:hAnsi="Times New Roman"/>
          <w:sz w:val="24"/>
          <w:szCs w:val="24"/>
        </w:rPr>
        <w:t>я.</w:t>
      </w:r>
    </w:p>
    <w:p w:rsidR="00F42DAE" w:rsidRPr="00CA4C3E" w:rsidRDefault="00F42DAE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DAE" w:rsidRPr="00C0430C" w:rsidRDefault="00F42DAE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F42DAE" w:rsidRPr="00C0430C" w:rsidRDefault="00F42DAE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42DAE" w:rsidRPr="00C0430C" w:rsidRDefault="00F42DAE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F42DAE" w:rsidRPr="00C0430C" w:rsidRDefault="00F42DAE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>
        <w:t>МЦ</w:t>
      </w:r>
      <w:r w:rsidRPr="00C0430C">
        <w:t xml:space="preserve"> в срок, установленный п. 4.2 настоящего Договора.</w:t>
      </w:r>
    </w:p>
    <w:p w:rsidR="00F42DAE" w:rsidRPr="00C0430C" w:rsidRDefault="00F42DAE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F42DAE" w:rsidRPr="00C0430C" w:rsidRDefault="00F42DAE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</w:t>
      </w:r>
      <w:bookmarkStart w:id="16" w:name="_GoBack"/>
      <w:bookmarkEnd w:id="16"/>
      <w:r w:rsidRPr="00C0430C">
        <w:rPr>
          <w:sz w:val="24"/>
          <w:szCs w:val="24"/>
        </w:rPr>
        <w:t>транспортировку и т.п.), обеспечивающие принятие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F42DAE" w:rsidRDefault="00F42DAE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42DAE" w:rsidRPr="00CB20FC" w:rsidRDefault="00F42DAE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42DAE" w:rsidRPr="00C0430C" w:rsidRDefault="00F42DAE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F42DAE" w:rsidRDefault="00F42DAE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42DAE" w:rsidRPr="00C0430C" w:rsidRDefault="00F42DAE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F42DAE" w:rsidRPr="00C0430C" w:rsidRDefault="00F42DAE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F42DAE" w:rsidRPr="00D52B68" w:rsidRDefault="00F42DAE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F42DAE" w:rsidRDefault="00F42DA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</w:rPr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</w:rPr>
        <w:t>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F42DAE" w:rsidRPr="00C0430C" w:rsidRDefault="00F42DAE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F42DAE" w:rsidRPr="000D69AB" w:rsidRDefault="00F42DAE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Данное условие применяется только в договорах, не предусматривающих реализацию металлолома: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F42DAE" w:rsidRDefault="00F42DAE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F42DAE" w:rsidRDefault="00F42DAE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F42DAE" w:rsidRDefault="00F42DAE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F42DAE" w:rsidRDefault="00F42DAE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F42DAE" w:rsidRPr="00C0430C" w:rsidRDefault="00F42DAE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F42DAE" w:rsidRPr="00C0430C" w:rsidRDefault="00F42DAE" w:rsidP="00C0430C">
      <w:pPr>
        <w:pStyle w:val="a3"/>
        <w:tabs>
          <w:tab w:val="left" w:pos="900"/>
        </w:tabs>
      </w:pPr>
    </w:p>
    <w:p w:rsidR="00F42DAE" w:rsidRPr="00C0430C" w:rsidRDefault="00F42DAE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42DAE" w:rsidRDefault="00F42DAE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F42DAE" w:rsidRPr="007E7C47" w:rsidRDefault="00F42DAE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F42DAE" w:rsidRDefault="00F42DAE" w:rsidP="00A44E0C">
      <w:pPr>
        <w:pStyle w:val="a5"/>
        <w:jc w:val="both"/>
      </w:pPr>
      <w:r w:rsidRPr="00C0430C">
        <w:t>6.</w:t>
      </w:r>
      <w:r>
        <w:t>3</w:t>
      </w:r>
      <w:r w:rsidRPr="00C0430C">
        <w:t>. В случае несоблюдения сроков вы</w:t>
      </w:r>
      <w:r>
        <w:t>борки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0,01</w:t>
      </w:r>
      <w:proofErr w:type="gramStart"/>
      <w:r>
        <w:rPr>
          <w:i/>
          <w:noProof/>
        </w:rPr>
        <w:t xml:space="preserve">% </w:t>
      </w:r>
      <w:r w:rsidRPr="00D52B68">
        <w:rPr>
          <w:i/>
        </w:rPr>
        <w:fldChar w:fldCharType="end"/>
      </w:r>
      <w:r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>
        <w:t>ых</w:t>
      </w:r>
      <w:r w:rsidRPr="00C0430C">
        <w:t xml:space="preserve"> Т</w:t>
      </w:r>
      <w:r>
        <w:t>МЦ</w:t>
      </w:r>
      <w:r w:rsidRPr="00C0430C">
        <w:t xml:space="preserve">, но не более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>
        <w:t xml:space="preserve"> о</w:t>
      </w:r>
      <w:r w:rsidRPr="00C0430C">
        <w:t>т стоимости несвоевременно вывезенн</w:t>
      </w:r>
      <w:r>
        <w:t>ых</w:t>
      </w:r>
      <w:r w:rsidRPr="00C0430C">
        <w:t xml:space="preserve"> Т</w:t>
      </w:r>
      <w:r>
        <w:t>МЦ</w:t>
      </w:r>
      <w:r w:rsidRPr="00C0430C">
        <w:t xml:space="preserve"> за каждый день просрочки.</w:t>
      </w:r>
      <w:r w:rsidRPr="00A44E0C">
        <w:rPr>
          <w:sz w:val="20"/>
          <w:szCs w:val="20"/>
        </w:rPr>
        <w:t xml:space="preserve"> </w:t>
      </w:r>
      <w:r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>
        <w:t xml:space="preserve"> </w:t>
      </w:r>
    </w:p>
    <w:p w:rsidR="00F42DAE" w:rsidRPr="00D52B68" w:rsidRDefault="00F42DAE" w:rsidP="00A44E0C">
      <w:pPr>
        <w:pStyle w:val="a3"/>
      </w:pPr>
      <w:r>
        <w:t xml:space="preserve">6.4.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</w:t>
      </w:r>
      <w:proofErr w:type="gramEnd"/>
      <w:r>
        <w:rPr>
          <w:i/>
          <w:noProof/>
        </w:rPr>
        <w:t xml:space="preserve">,01% </w:t>
      </w:r>
      <w:r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F42DAE" w:rsidRPr="00C0430C" w:rsidRDefault="00F42DAE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>
        <w:t>берет</w:t>
      </w:r>
      <w:r w:rsidRPr="00C0430C">
        <w:t xml:space="preserve"> Т</w:t>
      </w:r>
      <w:r>
        <w:t>МЦ</w:t>
      </w:r>
      <w:r w:rsidRPr="00C0430C">
        <w:t xml:space="preserve"> в срок, указанный в п. 2.</w:t>
      </w:r>
      <w:r>
        <w:t>2.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>
        <w:t>МЦ</w:t>
      </w:r>
      <w:r w:rsidRPr="00C0430C">
        <w:t xml:space="preserve">. </w:t>
      </w:r>
    </w:p>
    <w:p w:rsidR="00F42DAE" w:rsidRPr="00C0430C" w:rsidRDefault="00F42DAE" w:rsidP="00C0430C">
      <w:pPr>
        <w:pStyle w:val="af9"/>
      </w:pPr>
      <w:r w:rsidRPr="00C0430C">
        <w:t>6.</w:t>
      </w:r>
      <w:r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F42DAE" w:rsidRPr="00C0430C" w:rsidRDefault="00F42DAE" w:rsidP="00A44E0C">
      <w:pPr>
        <w:pStyle w:val="a5"/>
        <w:jc w:val="both"/>
      </w:pPr>
      <w:r w:rsidRPr="00C0430C">
        <w:t>6.</w:t>
      </w:r>
      <w:r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F42DAE" w:rsidRPr="00C0430C" w:rsidRDefault="00F42DAE" w:rsidP="00C0430C">
      <w:pPr>
        <w:pStyle w:val="af9"/>
      </w:pPr>
      <w:r w:rsidRPr="00C0430C">
        <w:t>6.</w:t>
      </w:r>
      <w:r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F42DAE" w:rsidRPr="00C0430C" w:rsidRDefault="00F42DAE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F42DAE" w:rsidRPr="00C0430C" w:rsidRDefault="00F42DAE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F42DAE" w:rsidRDefault="00F42DAE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F42DAE" w:rsidRPr="00D23E36" w:rsidRDefault="00F42DAE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F42DAE" w:rsidRPr="00D23E36" w:rsidRDefault="00F42DAE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F42DAE" w:rsidRDefault="00F42DAE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3</w:t>
      </w:r>
      <w:r w:rsidRPr="0011189F">
        <w:rPr>
          <w:rFonts w:ascii="Times New Roman" w:hAnsi="Times New Roman"/>
          <w:sz w:val="24"/>
          <w:szCs w:val="24"/>
        </w:rPr>
        <w:t xml:space="preserve">. </w:t>
      </w:r>
      <w:r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>
        <w:rPr>
          <w:rFonts w:ascii="Times New Roman" w:hAnsi="Times New Roman"/>
          <w:sz w:val="24"/>
          <w:szCs w:val="24"/>
        </w:rPr>
        <w:t>10.7</w:t>
      </w:r>
      <w:r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Pr="005A2E83">
        <w:rPr>
          <w:rFonts w:ascii="Times New Roman" w:hAnsi="Times New Roman"/>
          <w:b/>
          <w:sz w:val="24"/>
          <w:szCs w:val="24"/>
        </w:rPr>
        <w:t>Продавец</w:t>
      </w:r>
      <w:r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42DAE" w:rsidRPr="005A2E83" w:rsidRDefault="00F42DAE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6.14</w:t>
      </w:r>
      <w:r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>
        <w:rPr>
          <w:rFonts w:ascii="Times New Roman" w:hAnsi="Times New Roman"/>
          <w:sz w:val="24"/>
          <w:szCs w:val="24"/>
        </w:rPr>
        <w:t xml:space="preserve">2 </w:t>
      </w:r>
      <w:r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Pr="005A2E83">
        <w:rPr>
          <w:rFonts w:ascii="Times New Roman" w:hAnsi="Times New Roman"/>
          <w:b/>
          <w:sz w:val="24"/>
          <w:szCs w:val="24"/>
        </w:rPr>
        <w:t>Продавец</w:t>
      </w:r>
      <w:r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</w:t>
      </w:r>
      <w:r w:rsidRPr="005A2E83">
        <w:rPr>
          <w:rFonts w:ascii="Times New Roman" w:hAnsi="Times New Roman"/>
          <w:sz w:val="24"/>
          <w:szCs w:val="24"/>
        </w:rPr>
        <w:lastRenderedPageBreak/>
        <w:t xml:space="preserve">непредставления такой информации, нарушения сроков ее предоставления, а также предоставления недостоверной информации </w:t>
      </w:r>
      <w:r w:rsidRPr="005A2E83">
        <w:rPr>
          <w:rFonts w:ascii="Times New Roman" w:hAnsi="Times New Roman"/>
          <w:b/>
          <w:sz w:val="24"/>
          <w:szCs w:val="24"/>
        </w:rPr>
        <w:t>Продавец</w:t>
      </w:r>
      <w:r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42DAE" w:rsidRPr="00567513" w:rsidRDefault="00F42DAE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F42DAE" w:rsidRPr="00C0430C" w:rsidRDefault="00F42DAE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F42DAE" w:rsidRPr="00C0430C" w:rsidRDefault="00F42DAE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42DAE" w:rsidRPr="00C0430C" w:rsidRDefault="00F42DAE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F42DAE" w:rsidRPr="00C0430C" w:rsidRDefault="00F42DAE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F42DAE" w:rsidRPr="00C0430C" w:rsidRDefault="00F42DAE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F42DAE" w:rsidRDefault="00F42DAE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Обеспечить выполнение необходимых мероприятий по промышленной безопасности, охране труда, охране окружающей среды (ПБОТОС), изложенные в Приложении №6 к настоящему Договору; а также требования к рациональному </w:t>
      </w:r>
      <w:r w:rsidRPr="005062BF">
        <w:rPr>
          <w:rFonts w:ascii="Times New Roman" w:hAnsi="Times New Roman"/>
          <w:sz w:val="24"/>
          <w:szCs w:val="24"/>
        </w:rPr>
        <w:lastRenderedPageBreak/>
        <w:t xml:space="preserve">использованию природных ресурсов, по пожарной безопасности объекта, на котором выполняются работы. </w:t>
      </w:r>
    </w:p>
    <w:p w:rsidR="00F42DAE" w:rsidRPr="005062BF" w:rsidRDefault="00F42DAE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F42DAE" w:rsidRPr="00C0430C" w:rsidRDefault="00F42DAE" w:rsidP="00C0430C">
      <w:pPr>
        <w:pStyle w:val="af9"/>
      </w:pPr>
      <w:r w:rsidRPr="00C0430C">
        <w:rPr>
          <w:noProof/>
        </w:rPr>
        <w:t>8.1.</w:t>
      </w:r>
      <w:r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proofErr w:type="gramStart"/>
      <w:r w:rsidRPr="00C0430C">
        <w:t>работ</w:t>
      </w:r>
      <w:proofErr w:type="gramEnd"/>
      <w:r w:rsidRPr="00C0430C">
        <w:t xml:space="preserve"> предусмотренных в п. 5.1.</w:t>
      </w:r>
      <w:r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>
        <w:t xml:space="preserve">ПБОТОС </w:t>
      </w:r>
      <w:r w:rsidRPr="00C0430C">
        <w:t>для договоров, заключенных на срок, не превышающий 1 год.</w:t>
      </w:r>
    </w:p>
    <w:p w:rsidR="00F42DAE" w:rsidRPr="00C0430C" w:rsidRDefault="00F42DAE" w:rsidP="00C0430C">
      <w:pPr>
        <w:pStyle w:val="a3"/>
        <w:tabs>
          <w:tab w:val="left" w:pos="900"/>
        </w:tabs>
      </w:pPr>
      <w:r>
        <w:t>8.2</w:t>
      </w:r>
      <w:r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F42DAE" w:rsidRPr="00C0430C" w:rsidRDefault="00F42DAE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F42DAE" w:rsidRPr="00DD62D9" w:rsidTr="00857FE6">
        <w:trPr>
          <w:trHeight w:val="992"/>
        </w:trPr>
        <w:tc>
          <w:tcPr>
            <w:tcW w:w="5000" w:type="pct"/>
          </w:tcPr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</w:t>
            </w:r>
            <w:proofErr w:type="gramStart"/>
            <w:r w:rsidRPr="00871C13">
              <w:rPr>
                <w:rFonts w:ascii="Times New Roman" w:hAnsi="Times New Roman"/>
                <w:szCs w:val="24"/>
              </w:rPr>
              <w:t>виртуальных комнат</w:t>
            </w:r>
            <w:proofErr w:type="gramEnd"/>
            <w:r w:rsidRPr="00871C13">
              <w:rPr>
                <w:rFonts w:ascii="Times New Roman" w:hAnsi="Times New Roman"/>
                <w:szCs w:val="24"/>
              </w:rPr>
              <w:t xml:space="preserve">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F42DAE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 xml:space="preserve"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F42DAE" w:rsidRPr="00871C13" w:rsidRDefault="00F42DAE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F42DAE" w:rsidRPr="00F42DAE" w:rsidRDefault="00F42DAE" w:rsidP="00F42DAE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</w:tc>
      </w:tr>
    </w:tbl>
    <w:p w:rsidR="00F42DAE" w:rsidRDefault="00F42DAE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F42DAE" w:rsidRDefault="00F42DAE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F42DAE" w:rsidRPr="00041FE4" w:rsidRDefault="00F42DAE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F42DAE" w:rsidRPr="00C0430C" w:rsidRDefault="00F42DA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DAE" w:rsidRPr="005A2E83" w:rsidRDefault="00F42DAE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F42DAE" w:rsidRPr="005A2E83" w:rsidRDefault="00F42DAE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42DAE" w:rsidRPr="005A2E83" w:rsidRDefault="00F42DAE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42DAE" w:rsidRPr="005A2E83" w:rsidRDefault="00F42DAE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предоставление каких-либо гарантий;</w:t>
      </w:r>
    </w:p>
    <w:p w:rsidR="00F42DAE" w:rsidRPr="005A2E83" w:rsidRDefault="00F42DAE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F42DAE" w:rsidRPr="00041FE4" w:rsidRDefault="00F42DAE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DAE" w:rsidRPr="005A2E83" w:rsidRDefault="00F42DAE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F42DAE" w:rsidRPr="005A2E83" w:rsidRDefault="00F42DAE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42DAE" w:rsidRPr="005A2E83" w:rsidRDefault="00F42DAE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DAE" w:rsidRPr="005A2E83" w:rsidRDefault="00F42DAE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proofErr w:type="gramStart"/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 в течение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F42DAE" w:rsidRPr="005A2E83" w:rsidRDefault="00F42DAE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proofErr w:type="gramStart"/>
      <w:r w:rsidRPr="005A2E83">
        <w:rPr>
          <w:rFonts w:ascii="Times New Roman" w:hAnsi="Times New Roman"/>
          <w:sz w:val="24"/>
          <w:szCs w:val="24"/>
        </w:rPr>
        <w:t>обязуется  в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F42DAE" w:rsidRPr="005A2E83" w:rsidRDefault="00F42DAE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proofErr w:type="gramStart"/>
      <w:r w:rsidRPr="006E5EF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почтового отправления с описью вложения. Датой предоставления Информации является дата получения </w:t>
      </w:r>
      <w:r w:rsidRPr="006E5EF8"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F42DAE" w:rsidRPr="005A2E83" w:rsidRDefault="00F42DAE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F42DAE" w:rsidRPr="005A2E83" w:rsidRDefault="00F42DAE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</w:t>
      </w:r>
      <w:r w:rsidRPr="005A2E83">
        <w:rPr>
          <w:rFonts w:ascii="Times New Roman" w:hAnsi="Times New Roman"/>
          <w:sz w:val="24"/>
          <w:szCs w:val="24"/>
        </w:rPr>
        <w:lastRenderedPageBreak/>
        <w:t>существенных ограничений по взаимодействию с контрагентом, вплоть до расторжения настоящего Договора.</w:t>
      </w:r>
    </w:p>
    <w:p w:rsidR="00F42DAE" w:rsidRPr="005A2E83" w:rsidRDefault="00F42DAE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DAE" w:rsidRDefault="00F42DAE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F42DAE" w:rsidRDefault="00F42DAE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предоставить  </w:t>
      </w:r>
      <w:r w:rsidRPr="00041FE4">
        <w:rPr>
          <w:bCs w:val="0"/>
          <w:spacing w:val="-2"/>
          <w:sz w:val="24"/>
        </w:rPr>
        <w:t>Продавцу</w:t>
      </w:r>
      <w:proofErr w:type="gramEnd"/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F42DAE" w:rsidRDefault="00F42DAE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F42DAE" w:rsidRDefault="00F42DAE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Pr="00DA31F7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F42DAE" w:rsidRDefault="00F42DAE" w:rsidP="00DA31F7">
      <w:pPr>
        <w:pStyle w:val="ab"/>
        <w:jc w:val="both"/>
        <w:rPr>
          <w:b w:val="0"/>
          <w:sz w:val="24"/>
        </w:rPr>
      </w:pPr>
    </w:p>
    <w:p w:rsidR="00F42DAE" w:rsidRPr="00DA31F7" w:rsidRDefault="00F42DAE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F42DAE" w:rsidRPr="00C0430C" w:rsidRDefault="00F42DAE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F42DAE" w:rsidRPr="00C0430C" w:rsidRDefault="00F42DAE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lastRenderedPageBreak/>
        <w:t>12. Срок действия Договора</w:t>
      </w:r>
    </w:p>
    <w:p w:rsidR="00F42DAE" w:rsidRPr="00C0430C" w:rsidRDefault="00F42DAE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42DAE" w:rsidRPr="00C0430C" w:rsidRDefault="00F42DAE" w:rsidP="00D52B68">
      <w:pPr>
        <w:pStyle w:val="a5"/>
      </w:pPr>
      <w:r w:rsidRPr="00C0430C">
        <w:t>12.1 Договор вступает в силу с момента его подписания и действует по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F42DAE" w:rsidRPr="00C0430C" w:rsidRDefault="00F42DAE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F42DAE" w:rsidRPr="00C0430C" w:rsidRDefault="00F42DAE" w:rsidP="00C0430C">
      <w:pPr>
        <w:pStyle w:val="a3"/>
      </w:pPr>
    </w:p>
    <w:p w:rsidR="00F42DAE" w:rsidRPr="00C0430C" w:rsidRDefault="00F42DAE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F42DAE" w:rsidRPr="00C0430C" w:rsidRDefault="00F42DAE" w:rsidP="00C0430C">
      <w:pPr>
        <w:pStyle w:val="a3"/>
        <w:tabs>
          <w:tab w:val="left" w:pos="900"/>
        </w:tabs>
        <w:ind w:left="180"/>
        <w:rPr>
          <w:b/>
        </w:rPr>
      </w:pP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F42DAE" w:rsidRPr="00C0430C" w:rsidRDefault="00F42DAE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F42DAE" w:rsidRPr="00C0430C" w:rsidRDefault="00F42DAE" w:rsidP="00C0430C">
      <w:pPr>
        <w:pStyle w:val="a3"/>
        <w:tabs>
          <w:tab w:val="left" w:pos="900"/>
        </w:tabs>
        <w:ind w:left="180"/>
        <w:rPr>
          <w:b/>
        </w:rPr>
      </w:pP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66624E">
        <w:rPr>
          <w:rFonts w:ascii="Times New Roman" w:hAnsi="Times New Roman"/>
          <w:b/>
          <w:sz w:val="24"/>
          <w:szCs w:val="24"/>
        </w:rPr>
        <w:t>Сторон</w:t>
      </w:r>
      <w:r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</w:t>
      </w:r>
      <w:proofErr w:type="gramStart"/>
      <w:r w:rsidRPr="00B74FD3">
        <w:rPr>
          <w:rFonts w:ascii="Times New Roman" w:hAnsi="Times New Roman"/>
          <w:sz w:val="24"/>
          <w:szCs w:val="24"/>
        </w:rPr>
        <w:t>предоставления  уведомления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</w:t>
      </w:r>
      <w:proofErr w:type="gramStart"/>
      <w:r w:rsidRPr="00B74FD3">
        <w:rPr>
          <w:rFonts w:ascii="Times New Roman" w:hAnsi="Times New Roman"/>
          <w:sz w:val="24"/>
          <w:szCs w:val="24"/>
        </w:rPr>
        <w:t>возвратятся  на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</w:t>
      </w:r>
      <w:r w:rsidRPr="005D5546">
        <w:rPr>
          <w:rFonts w:ascii="Times New Roman" w:hAnsi="Times New Roman"/>
          <w:sz w:val="24"/>
          <w:szCs w:val="24"/>
        </w:rPr>
        <w:lastRenderedPageBreak/>
        <w:t>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>
        <w:rPr>
          <w:rFonts w:ascii="Times New Roman" w:hAnsi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sz w:val="24"/>
          <w:szCs w:val="24"/>
          <w:highlight w:val="lightGray"/>
        </w:rPr>
      </w:r>
      <w:r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14.8.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</w:t>
      </w:r>
      <w:proofErr w:type="gramStart"/>
      <w:r w:rsidRPr="005D5546">
        <w:rPr>
          <w:rFonts w:ascii="Times New Roman" w:hAnsi="Times New Roman"/>
          <w:sz w:val="24"/>
          <w:szCs w:val="24"/>
        </w:rPr>
        <w:t xml:space="preserve">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по договору.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14.9. </w:t>
      </w:r>
      <w:r w:rsidRPr="005D5546">
        <w:rPr>
          <w:rFonts w:ascii="Times New Roman" w:hAnsi="Times New Roman"/>
          <w:sz w:val="24"/>
          <w:szCs w:val="24"/>
        </w:rPr>
        <w:t xml:space="preserve">В случае оспаривания любой из Сторон действительности ЭП, такая ЭП признается </w:t>
      </w:r>
      <w:proofErr w:type="gramStart"/>
      <w:r w:rsidRPr="005D5546">
        <w:rPr>
          <w:rFonts w:ascii="Times New Roman" w:hAnsi="Times New Roman"/>
          <w:sz w:val="24"/>
          <w:szCs w:val="24"/>
        </w:rPr>
        <w:t>действительной  до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тех пор, пока решением суда, вступившим в законную силу, не будет установлено иное.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14.10.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7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14.11. </w:t>
      </w:r>
      <w:r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F42DAE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 xml:space="preserve"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</w:t>
      </w:r>
      <w:r w:rsidRPr="0066624E">
        <w:rPr>
          <w:rFonts w:ascii="Times New Roman" w:hAnsi="Times New Roman"/>
          <w:sz w:val="24"/>
          <w:szCs w:val="24"/>
        </w:rPr>
        <w:lastRenderedPageBreak/>
        <w:t>безопасности для недопущения нарушений конфиденциальности ключа ЭП (компрометации ключа ЭП).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42DAE" w:rsidRPr="00C0430C" w:rsidRDefault="00F42DA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F42DAE" w:rsidRPr="00C0430C" w:rsidRDefault="00F42DA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F42DAE" w:rsidRPr="00C0430C" w:rsidRDefault="00F42DA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42DAE" w:rsidRDefault="00F42DAE" w:rsidP="0036546E">
      <w:pPr>
        <w:pStyle w:val="a3"/>
        <w:ind w:left="567"/>
      </w:pPr>
      <w:r w:rsidRPr="00C0430C">
        <w:t>Приложение №1 – Спецификация</w:t>
      </w:r>
      <w:r>
        <w:t>;</w:t>
      </w:r>
    </w:p>
    <w:p w:rsidR="00F42DAE" w:rsidRDefault="00F42DAE" w:rsidP="0036546E">
      <w:pPr>
        <w:pStyle w:val="a3"/>
        <w:ind w:left="567"/>
      </w:pPr>
      <w:r>
        <w:t>Приложение №2 – Информация о бенефициарах;</w:t>
      </w:r>
    </w:p>
    <w:p w:rsidR="00F42DAE" w:rsidRDefault="00F42DAE" w:rsidP="0036546E">
      <w:pPr>
        <w:pStyle w:val="a3"/>
        <w:ind w:left="567"/>
      </w:pPr>
      <w:r>
        <w:t>Приложение №3 – Форма накладной ТОРГ-12;</w:t>
      </w:r>
    </w:p>
    <w:p w:rsidR="00F42DAE" w:rsidRDefault="00F42DAE" w:rsidP="0036546E">
      <w:pPr>
        <w:pStyle w:val="a3"/>
        <w:ind w:left="567"/>
      </w:pPr>
      <w:r>
        <w:t>Приложение №4 – Форма доверенности М-2;</w:t>
      </w:r>
    </w:p>
    <w:p w:rsidR="00F42DAE" w:rsidRDefault="00F42DAE" w:rsidP="0036546E">
      <w:pPr>
        <w:pStyle w:val="a3"/>
        <w:ind w:left="567"/>
      </w:pPr>
      <w:r>
        <w:lastRenderedPageBreak/>
        <w:t>Приложение №5 – Форма подтверждения наличия согласия на обработку    персональных данных;</w:t>
      </w:r>
    </w:p>
    <w:p w:rsidR="00F42DAE" w:rsidRDefault="00F42DA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8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Приложения №6 –                                                 ;</w:t>
      </w:r>
      <w:r>
        <w:fldChar w:fldCharType="end"/>
      </w:r>
      <w:bookmarkEnd w:id="38"/>
      <w:r>
        <w:t xml:space="preserve"> </w:t>
      </w:r>
    </w:p>
    <w:p w:rsidR="00F42DAE" w:rsidRDefault="00F42DA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9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№6.1. –                                             ;</w:t>
      </w:r>
      <w:r>
        <w:fldChar w:fldCharType="end"/>
      </w:r>
      <w:bookmarkEnd w:id="39"/>
      <w:r>
        <w:t xml:space="preserve"> </w:t>
      </w:r>
    </w:p>
    <w:p w:rsidR="00F42DAE" w:rsidRDefault="00F42DAE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40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№7 –                                                 ;</w:t>
      </w:r>
      <w:r>
        <w:fldChar w:fldCharType="end"/>
      </w:r>
      <w:bookmarkEnd w:id="40"/>
      <w:r>
        <w:t xml:space="preserve"> </w:t>
      </w:r>
    </w:p>
    <w:p w:rsidR="00F42DAE" w:rsidRDefault="00F42DAE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1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№8 -                                                  ;</w:t>
      </w:r>
      <w:r>
        <w:fldChar w:fldCharType="end"/>
      </w:r>
      <w:bookmarkEnd w:id="41"/>
    </w:p>
    <w:p w:rsidR="00F42DAE" w:rsidRDefault="00F42DAE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2" w:name="ТекстовоеПоле792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42"/>
    </w:p>
    <w:p w:rsidR="00F42DAE" w:rsidRPr="00C0430C" w:rsidRDefault="00F42DAE" w:rsidP="00C0430C"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</w:p>
    <w:p w:rsidR="00F42DAE" w:rsidRPr="00C0430C" w:rsidRDefault="00F42DAE" w:rsidP="00C0430C">
      <w:pPr>
        <w:pStyle w:val="a3"/>
        <w:rPr>
          <w:b/>
          <w:bCs/>
        </w:rPr>
      </w:pPr>
    </w:p>
    <w:p w:rsidR="00F42DAE" w:rsidRPr="00C0430C" w:rsidRDefault="00F42DAE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F42DAE" w:rsidRPr="00C0430C" w:rsidRDefault="00F42DAE" w:rsidP="00C0430C">
      <w:pPr>
        <w:pStyle w:val="a3"/>
        <w:rPr>
          <w:b/>
          <w:bCs/>
        </w:rPr>
      </w:pPr>
    </w:p>
    <w:p w:rsidR="00F42DAE" w:rsidRPr="00C0430C" w:rsidRDefault="00F42DAE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F42DAE" w:rsidRPr="00C0430C" w:rsidRDefault="00F42DAE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F42DAE" w:rsidRPr="00DD62D9" w:rsidTr="00986406">
        <w:trPr>
          <w:trHeight w:val="992"/>
        </w:trPr>
        <w:tc>
          <w:tcPr>
            <w:tcW w:w="4786" w:type="dxa"/>
          </w:tcPr>
          <w:p w:rsidR="00F42DAE" w:rsidRDefault="00F42DAE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42DAE" w:rsidRDefault="00F42DAE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42DAE" w:rsidRDefault="00F42DA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42DAE" w:rsidRDefault="00F42DA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42DAE" w:rsidRDefault="00F42DAE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________/____________</w:t>
            </w:r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F42DAE" w:rsidRPr="00C0430C" w:rsidRDefault="00F42DA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>:</w:t>
            </w:r>
            <w:r>
              <w:t xml:space="preserve"> </w:t>
            </w:r>
            <w:r w:rsidRPr="00DD62D9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F42DAE" w:rsidRPr="00C0430C" w:rsidRDefault="00F42DAE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F42DAE" w:rsidRPr="00C0430C" w:rsidRDefault="00F42DAE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F42DAE" w:rsidRPr="00C0430C" w:rsidRDefault="00F42DA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_________/____________</w:t>
            </w:r>
            <w:r>
              <w:fldChar w:fldCharType="end"/>
            </w:r>
          </w:p>
          <w:p w:rsidR="00F42DAE" w:rsidRPr="00C0430C" w:rsidRDefault="00F42DA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</w:tc>
      </w:tr>
      <w:tr w:rsidR="00F42DAE" w:rsidRPr="00DD62D9" w:rsidTr="00DD62D9">
        <w:trPr>
          <w:trHeight w:val="3158"/>
        </w:trPr>
        <w:tc>
          <w:tcPr>
            <w:tcW w:w="4852" w:type="dxa"/>
            <w:gridSpan w:val="2"/>
          </w:tcPr>
          <w:p w:rsidR="00F42DAE" w:rsidRDefault="00F42DAE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42DAE" w:rsidRPr="00DD62D9" w:rsidRDefault="00F42DAE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Pr="00DD62D9" w:rsidRDefault="00F42DAE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Pr="00C0430C" w:rsidRDefault="00F42DAE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42DAE" w:rsidRDefault="00F42DAE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DD62D9" w:rsidRDefault="00F42DAE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DD62D9" w:rsidRDefault="00F42DAE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F42DAE" w:rsidRPr="00C0430C" w:rsidRDefault="00F42DAE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42DAE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________________</w:t>
            </w:r>
            <w:r>
              <w:fldChar w:fldCharType="end"/>
            </w:r>
          </w:p>
          <w:p w:rsidR="00F42DAE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42DAE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F42DAE" w:rsidRPr="00C0430C" w:rsidRDefault="00F42DAE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F42DAE" w:rsidRPr="00DD62D9" w:rsidTr="00DD62D9">
        <w:trPr>
          <w:trHeight w:val="1760"/>
        </w:trPr>
        <w:tc>
          <w:tcPr>
            <w:tcW w:w="4852" w:type="dxa"/>
            <w:gridSpan w:val="2"/>
          </w:tcPr>
          <w:p w:rsidR="00F42DAE" w:rsidRPr="00C0430C" w:rsidRDefault="00F42DAE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F42DAE" w:rsidRDefault="00F42DAE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F42DAE" w:rsidRPr="00C77B9D" w:rsidRDefault="00F42DAE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F42DAE" w:rsidRDefault="00F42DAE">
            <w:pPr>
              <w:pStyle w:val="a5"/>
              <w:rPr>
                <w:b/>
                <w:iCs/>
              </w:rPr>
            </w:pPr>
          </w:p>
          <w:p w:rsidR="00F42DAE" w:rsidRPr="00C77B9D" w:rsidRDefault="00F42DAE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4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F42DAE" w:rsidRPr="00F42DAE" w:rsidRDefault="00F42DAE" w:rsidP="00117725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</w:tc>
        <w:tc>
          <w:tcPr>
            <w:tcW w:w="223" w:type="dxa"/>
            <w:gridSpan w:val="2"/>
          </w:tcPr>
          <w:p w:rsidR="00F42DAE" w:rsidRPr="00C0430C" w:rsidRDefault="00F42DAE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42DAE" w:rsidRPr="00201533" w:rsidRDefault="00F42DAE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F42DAE" w:rsidRPr="00201533" w:rsidRDefault="00F42DAE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F42DAE" w:rsidRDefault="00F42DAE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F42DAE" w:rsidRPr="00C0430C" w:rsidRDefault="00F42DAE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42DAE" w:rsidRPr="00C77B9D" w:rsidRDefault="00F42DAE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F42DAE" w:rsidRPr="00C0430C" w:rsidRDefault="00F42DAE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42DAE" w:rsidRPr="00C0430C" w:rsidRDefault="00F42DAE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F42DAE" w:rsidRPr="00C0430C" w:rsidRDefault="00F42DAE" w:rsidP="00F42D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42DAE" w:rsidRPr="00C0430C" w:rsidSect="00FC6A8F">
      <w:headerReference w:type="default" r:id="rId5"/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39" w:rsidRDefault="00F42DAE">
    <w:pPr>
      <w:pStyle w:val="a5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Pr="00F42DAE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495C39" w:rsidRDefault="00F42DAE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C39" w:rsidRDefault="00F42DAE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D7"/>
    <w:rsid w:val="00AF6FD7"/>
    <w:rsid w:val="00CC546A"/>
    <w:rsid w:val="00F4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391A60C-CFBB-4D0B-8E37-5070477B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2D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42DA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42DA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42DA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DA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DA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42D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42DA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F42D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2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42DAE"/>
    <w:pPr>
      <w:spacing w:after="0" w:line="240" w:lineRule="auto"/>
      <w:ind w:right="4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42DA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F4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42D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42DAE"/>
  </w:style>
  <w:style w:type="table" w:styleId="a8">
    <w:name w:val="Table Grid"/>
    <w:basedOn w:val="a1"/>
    <w:rsid w:val="00F4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42D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42D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F42D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42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F42D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F42DA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F4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42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F42DAE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F42DAE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F4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F42DAE"/>
    <w:rPr>
      <w:sz w:val="16"/>
      <w:szCs w:val="16"/>
    </w:rPr>
  </w:style>
  <w:style w:type="paragraph" w:styleId="af1">
    <w:name w:val="annotation text"/>
    <w:basedOn w:val="a"/>
    <w:link w:val="af2"/>
    <w:semiHidden/>
    <w:rsid w:val="00F42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F42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F42DAE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F42D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F42D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F42D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F42DAE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F42DA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F42DA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Hyperlink"/>
    <w:basedOn w:val="a0"/>
    <w:uiPriority w:val="99"/>
    <w:unhideWhenUsed/>
    <w:rsid w:val="00F42DAE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F42D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42D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F42DAE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af9">
    <w:name w:val="Стиль договора"/>
    <w:basedOn w:val="a"/>
    <w:link w:val="afa"/>
    <w:rsid w:val="00F42DA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F42DA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F42DA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F42DAE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2">
    <w:name w:val="Обычный1"/>
    <w:rsid w:val="00F42DA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7378</Words>
  <Characters>42060</Characters>
  <Application>Microsoft Office Word</Application>
  <DocSecurity>0</DocSecurity>
  <Lines>350</Lines>
  <Paragraphs>98</Paragraphs>
  <ScaleCrop>false</ScaleCrop>
  <Company>IT Organization</Company>
  <LinksUpToDate>false</LinksUpToDate>
  <CharactersWithSpaces>49340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Анастасия Александровна</dc:creator>
  <cp:keywords/>
  <dc:description/>
  <cp:lastModifiedBy>Первухина Анастасия Александровна</cp:lastModifiedBy>
  <cp:revision>3</cp:revision>
  <dcterms:created xsi:type="dcterms:W3CDTF">2024-03-14T06:19:00Z</dcterms:created>
  <dcterms:modified xsi:type="dcterms:W3CDTF">2024-03-14T06:24:00Z</dcterms:modified>
</cp:coreProperties>
</file>