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5C0039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5C0039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5C0039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5C0039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5C0039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5C0039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B779D4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="00340DC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2.5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и при условии обеспечения Получающей Стороной Режима конфиденциальности в отношении Конфиденциальной Информации.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3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3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5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5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6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7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8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9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9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</w:t>
      </w:r>
      <w:r w:rsidRPr="00EC3CE5">
        <w:rPr>
          <w:rFonts w:ascii="Times New Roman" w:hAnsi="Times New Roman"/>
          <w:sz w:val="24"/>
          <w:szCs w:val="24"/>
          <w:lang w:val="ru-RU"/>
        </w:rPr>
        <w:lastRenderedPageBreak/>
        <w:t>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0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1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2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0039" w:rsidRDefault="005C0039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</w:t>
      </w:r>
      <w:proofErr w:type="gramStart"/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требований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3" w:name="_Toc8647027"/>
      <w:bookmarkStart w:id="14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3"/>
      <w:bookmarkEnd w:id="14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5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6" w:name="_Toc99118092"/>
      <w:bookmarkStart w:id="17" w:name="_Toc8647037"/>
      <w:r>
        <w:rPr>
          <w:lang w:val="ru-RU"/>
        </w:rPr>
        <w:t>О предоставлении бухгалтерской отчетности</w:t>
      </w:r>
      <w:bookmarkEnd w:id="16"/>
      <w:bookmarkEnd w:id="17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тандартные налоговые оговорки</w:t>
      </w: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5C0039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АО «НК НПЗ»</w:t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E943CA"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E943CA"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E943CA" w:rsidRPr="00E943CA" w:rsidRDefault="005C0039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АО «НК НПЗ»</w:t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</w:t>
      </w:r>
      <w:r w:rsidR="00E943CA"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lastRenderedPageBreak/>
        <w:t>обозначение Контрагента как стороны в договоре)</w:t>
      </w:r>
      <w:r w:rsidR="00E943CA"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E943CA"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943CA" w:rsidRPr="00E943CA">
        <w:rPr>
          <w:rFonts w:ascii="Times New Roman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 возмещении имущественных потерь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C0039">
        <w:rPr>
          <w:rFonts w:ascii="Times New Roman" w:hAnsi="Times New Roman" w:cs="Times New Roman"/>
          <w:sz w:val="24"/>
          <w:szCs w:val="24"/>
        </w:rPr>
      </w:r>
      <w:r w:rsidR="005C0039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proofErr w:type="gramStart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C0039">
        <w:rPr>
          <w:rFonts w:ascii="Times New Roman" w:hAnsi="Times New Roman" w:cs="Times New Roman"/>
          <w:sz w:val="24"/>
          <w:szCs w:val="24"/>
        </w:rPr>
      </w:r>
      <w:r w:rsidR="005C0039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</w:t>
      </w:r>
      <w:proofErr w:type="gramEnd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применима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numPr>
          <w:ilvl w:val="0"/>
          <w:numId w:val="42"/>
        </w:numPr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Настоящим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порядке ст. 406.1 ГК РФ обязуется возместить имущественные потери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возникшие при наступлении следующих обстоятельств (не связанных с нарушением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обязательств, предусмотренных настоящим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Договором/Соглашением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): 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spacing w:after="0"/>
        <w:ind w:left="0" w:firstLine="360"/>
        <w:jc w:val="both"/>
        <w:rPr>
          <w:color w:val="000000"/>
        </w:rPr>
      </w:pPr>
      <w:r w:rsidRPr="00E943CA">
        <w:rPr>
          <w:color w:val="000000"/>
        </w:rPr>
        <w:t xml:space="preserve">предъявления налоговыми органами требований к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>об уплате сумм налогов, пени, штрафов;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color w:val="000000"/>
        </w:rPr>
        <w:t xml:space="preserve">отказа налоговыми органами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в вычетах расходов или налоговых вычетах по НДС по итогам налоговых проверок, </w:t>
      </w:r>
      <w:r w:rsidRPr="00E943CA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, а также в связи с привлечением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обязуется возместить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все возникшие у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вызванные возникновением обстоятельств, перечисленных в пункте 1 настоящей оговорки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в связи с получением от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</w:t>
      </w:r>
      <w:r w:rsidRPr="00E943CA">
        <w:rPr>
          <w:rFonts w:eastAsia="Calibri"/>
          <w:i/>
          <w:noProof/>
          <w:highlight w:val="darkGray"/>
        </w:rPr>
        <w:fldChar w:fldCharType="end"/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color w:val="000000"/>
        </w:rPr>
        <w:t xml:space="preserve">Имущественные потери подлежат возмещению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 в течение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10 (десяти)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рабочих дней с даты получения соответствующего требования от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. </w:t>
      </w:r>
      <w:r w:rsidRPr="00E943CA">
        <w:t xml:space="preserve">К требованию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 xml:space="preserve">прилагаются документы, подтверждающие, что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>понес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(ла)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или что имущественные потери с неизбежностью будут понесены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E943CA">
        <w:rPr>
          <w:rStyle w:val="afb"/>
          <w:rFonts w:eastAsiaTheme="majorEastAsia"/>
        </w:rPr>
        <w:t xml:space="preserve">При этом факт оспаривания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возместить имущественные потери. </w:t>
      </w:r>
    </w:p>
    <w:p w:rsidR="00E943CA" w:rsidRPr="00E943CA" w:rsidRDefault="00E943CA" w:rsidP="00E943CA">
      <w:pPr>
        <w:pStyle w:val="af2"/>
        <w:autoSpaceDE w:val="0"/>
        <w:autoSpaceDN w:val="0"/>
        <w:adjustRightInd w:val="0"/>
        <w:spacing w:after="0"/>
        <w:ind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E943CA">
        <w:rPr>
          <w:i/>
          <w:noProof/>
        </w:rPr>
        <w:instrText xml:space="preserve"> FORMTEXT </w:instrText>
      </w:r>
      <w:r w:rsidRPr="00E943CA">
        <w:rPr>
          <w:i/>
          <w:noProof/>
        </w:rPr>
      </w:r>
      <w:r w:rsidRPr="00E943CA">
        <w:rPr>
          <w:i/>
          <w:noProof/>
        </w:rPr>
        <w:fldChar w:fldCharType="separate"/>
      </w:r>
      <w:r w:rsidRPr="00E943CA">
        <w:rPr>
          <w:i/>
          <w:noProof/>
        </w:rPr>
        <w:t xml:space="preserve">4. </w:t>
      </w:r>
      <w:r w:rsidRPr="00E943CA">
        <w:rPr>
          <w:i/>
          <w:noProof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самостоятельно по своему усмотрению.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rStyle w:val="afb"/>
          <w:rFonts w:eastAsiaTheme="majorEastAsia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  <w:lang w:val="ru-RU"/>
        </w:rPr>
      </w:pPr>
    </w:p>
    <w:p w:rsidR="00E943CA" w:rsidRPr="00E943CA" w:rsidRDefault="00E943CA" w:rsidP="00706366">
      <w:pPr>
        <w:pStyle w:val="a4"/>
        <w:widowControl/>
        <w:suppressAutoHyphens/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для включения в договоры с иностранными лицами в случае, когда предполагается выплата доходов иностранными лицами в адрес ПАО «НК «Роснефть» или российских ОГ: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C0039">
        <w:rPr>
          <w:rFonts w:ascii="Times New Roman" w:hAnsi="Times New Roman" w:cs="Times New Roman"/>
          <w:sz w:val="24"/>
          <w:szCs w:val="24"/>
        </w:rPr>
      </w:r>
      <w:r w:rsidR="005C0039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proofErr w:type="gramStart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C0039">
        <w:rPr>
          <w:rFonts w:ascii="Times New Roman" w:hAnsi="Times New Roman" w:cs="Times New Roman"/>
          <w:sz w:val="24"/>
          <w:szCs w:val="24"/>
        </w:rPr>
      </w:r>
      <w:r w:rsidR="005C0039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</w:t>
      </w:r>
      <w:proofErr w:type="gramEnd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применима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E943CA">
        <w:rPr>
          <w:rFonts w:ascii="Times New Roman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E943CA">
        <w:rPr>
          <w:rFonts w:ascii="Times New Roman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E943CA">
        <w:rPr>
          <w:rFonts w:ascii="Times New Roman" w:hAnsi="Times New Roman" w:cs="Times New Roman"/>
          <w:sz w:val="24"/>
          <w:szCs w:val="24"/>
          <w:lang w:val="ru-RU"/>
        </w:rPr>
        <w:t>избежании</w:t>
      </w:r>
      <w:proofErr w:type="spellEnd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E943CA">
        <w:rPr>
          <w:rFonts w:ascii="Times New Roman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943C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E943CA">
        <w:rPr>
          <w:rFonts w:ascii="Times New Roman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E943CA">
        <w:rPr>
          <w:rFonts w:ascii="Times New Roman" w:hAnsi="Times New Roman" w:cs="Times New Roman"/>
          <w:sz w:val="24"/>
          <w:szCs w:val="24"/>
        </w:rPr>
        <w:t>ii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 освобождаются от налогообложения (далее – Льготные положения),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проинформирует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должна представить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для целей применения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Льготных положений.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E943CA">
        <w:rPr>
          <w:rFonts w:ascii="Times New Roman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ПАО "НК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lastRenderedPageBreak/>
        <w:t>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оказывать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E943CA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. предоставлять письменное подтверждение фактической уплаты удержанного налога на прибыль (доход) в адрес компетентных органов соответствующего иностранного государства, содержащее информацию о наименовании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его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(ее)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уплаченного налога, а также копии подтверждающих уплату документов. 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окажет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В случае удержания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из выплат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 об уплате налога в адрес компетентных органов соответствующего иностранного государства,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 связи с получением от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Контрагента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возмещения 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06366" w:rsidRPr="00E943CA" w:rsidRDefault="00706366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8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8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</w:t>
      </w:r>
      <w:r w:rsidRPr="00493D4E">
        <w:rPr>
          <w:rFonts w:ascii="Times New Roman" w:hAnsi="Times New Roman"/>
          <w:sz w:val="24"/>
          <w:szCs w:val="24"/>
          <w:lang w:val="ru-RU"/>
        </w:rPr>
        <w:lastRenderedPageBreak/>
        <w:t xml:space="preserve">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a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499"/>
      </w:tblGrid>
      <w:tr w:rsidR="001A77A7" w:rsidTr="00CF6C38">
        <w:tc>
          <w:tcPr>
            <w:tcW w:w="4672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ТекстовоеПоле909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Продавца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64026D" w:rsidRDefault="0064026D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64026D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val="ru-RU"/>
              </w:rPr>
              <w:t>АО «НК НПЗ»</w:t>
            </w:r>
          </w:p>
          <w:p w:rsidR="001A77A7" w:rsidRPr="0064026D" w:rsidRDefault="0064026D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64026D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lightGray"/>
                <w:lang w:val="ru-RU"/>
              </w:rPr>
              <w:t>Генеральный директор</w:t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64026D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02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="0064026D" w:rsidRPr="0064026D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ru-RU"/>
              </w:rPr>
              <w:t>С.Н. Голицаев</w:t>
            </w:r>
            <w:r w:rsidR="006402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</w:p>
          <w:p w:rsidR="001A77A7" w:rsidRDefault="001A77A7" w:rsidP="001A77A7">
            <w:pPr>
              <w:tabs>
                <w:tab w:val="left" w:pos="9390"/>
              </w:tabs>
              <w:spacing w:before="120" w:after="120" w:line="276" w:lineRule="auto"/>
              <w:ind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73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Покупателя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наименование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должность, ФИО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И.О. Фамилия/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1B14AC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9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1B14AC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64026D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Генеральный директор</w:t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4026D" w:rsidRPr="00D45F3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С.Н. Голицаев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  <w:bookmarkStart w:id="20" w:name="_GoBack"/>
      <w:bookmarkEnd w:id="20"/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64026D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Генеральный директор</w:t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4026D"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С.Н. Голицаев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proofErr w:type="gramStart"/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64026D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Генеральный директор</w:t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4026D"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С.Н. Голицаев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5C0039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6D6175" w:rsidRDefault="0064026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4026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ru-RU" w:eastAsia="ru-RU"/>
              </w:rPr>
              <w:t>Генеральный директор</w:t>
            </w:r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64026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64026D" w:rsidRPr="0064026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ru-RU" w:eastAsia="ru-RU"/>
              </w:rPr>
              <w:t>С.Н. Голицаев</w:t>
            </w:r>
            <w:r w:rsidR="006402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2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3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4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5C0039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proofErr w:type="gramStart"/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64026D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Генеральный директор</w:t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64026D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4026D"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С.Н. Голицаев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5C0039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5C0039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5C0039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5C0039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5C0039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5C0039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64026D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Генеральный директор</w:t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4026D" w:rsidRPr="0064026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val="ru-RU" w:eastAsia="ru-RU"/>
              </w:rPr>
              <w:t>С.Н. Голицаев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D2F" w:rsidRDefault="00944D2F" w:rsidP="000B6615">
      <w:r>
        <w:separator/>
      </w:r>
    </w:p>
  </w:endnote>
  <w:endnote w:type="continuationSeparator" w:id="0">
    <w:p w:rsidR="00944D2F" w:rsidRDefault="00944D2F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C0039" w:rsidRPr="007A44FA" w:rsidRDefault="005C003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D45F3A" w:rsidRPr="00D45F3A">
          <w:rPr>
            <w:rFonts w:ascii="Times New Roman" w:hAnsi="Times New Roman" w:cs="Times New Roman"/>
            <w:noProof/>
            <w:sz w:val="24"/>
            <w:lang w:val="ru-RU"/>
          </w:rPr>
          <w:t>29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D2F" w:rsidRDefault="00944D2F" w:rsidP="000B6615">
      <w:r>
        <w:separator/>
      </w:r>
    </w:p>
  </w:footnote>
  <w:footnote w:type="continuationSeparator" w:id="0">
    <w:p w:rsidR="00944D2F" w:rsidRDefault="00944D2F" w:rsidP="000B6615">
      <w:r>
        <w:continuationSeparator/>
      </w:r>
    </w:p>
  </w:footnote>
  <w:footnote w:id="1">
    <w:p w:rsidR="005C0039" w:rsidRDefault="005C003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6"/>
  </w:num>
  <w:num w:numId="4">
    <w:abstractNumId w:val="5"/>
  </w:num>
  <w:num w:numId="5">
    <w:abstractNumId w:val="17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8"/>
  </w:num>
  <w:num w:numId="13">
    <w:abstractNumId w:val="7"/>
  </w:num>
  <w:num w:numId="14">
    <w:abstractNumId w:val="34"/>
  </w:num>
  <w:num w:numId="15">
    <w:abstractNumId w:val="2"/>
  </w:num>
  <w:num w:numId="16">
    <w:abstractNumId w:val="38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8"/>
  </w:num>
  <w:num w:numId="30">
    <w:abstractNumId w:val="33"/>
  </w:num>
  <w:num w:numId="31">
    <w:abstractNumId w:val="32"/>
  </w:num>
  <w:num w:numId="32">
    <w:abstractNumId w:val="11"/>
  </w:num>
  <w:num w:numId="33">
    <w:abstractNumId w:val="26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452E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A77A7"/>
    <w:rsid w:val="001B14AC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0DCA"/>
    <w:rsid w:val="00345ADB"/>
    <w:rsid w:val="00345DC2"/>
    <w:rsid w:val="00353197"/>
    <w:rsid w:val="003557A5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6B4E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173E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0039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026D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06366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049E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4D2F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D6D6E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779D4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CF6C38"/>
    <w:rsid w:val="00D05876"/>
    <w:rsid w:val="00D123D5"/>
    <w:rsid w:val="00D131D9"/>
    <w:rsid w:val="00D17C19"/>
    <w:rsid w:val="00D3170E"/>
    <w:rsid w:val="00D45F3A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43CA"/>
    <w:rsid w:val="00E9610D"/>
    <w:rsid w:val="00E97819"/>
    <w:rsid w:val="00EA062A"/>
    <w:rsid w:val="00EA7CAC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99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styleId="af9">
    <w:name w:val="Plain Text"/>
    <w:basedOn w:val="a"/>
    <w:link w:val="afa"/>
    <w:uiPriority w:val="99"/>
    <w:unhideWhenUsed/>
    <w:rsid w:val="00E943CA"/>
    <w:pPr>
      <w:widowControl/>
      <w:jc w:val="both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fa">
    <w:name w:val="Текст Знак"/>
    <w:basedOn w:val="a0"/>
    <w:link w:val="af9"/>
    <w:uiPriority w:val="99"/>
    <w:rsid w:val="00E943CA"/>
    <w:rPr>
      <w:rFonts w:ascii="Courier New" w:eastAsia="Times New Roman" w:hAnsi="Courier New" w:cs="Times New Roman"/>
      <w:sz w:val="20"/>
      <w:szCs w:val="20"/>
      <w:lang w:val="ru-RU"/>
    </w:rPr>
  </w:style>
  <w:style w:type="character" w:styleId="afb">
    <w:name w:val="Emphasis"/>
    <w:basedOn w:val="a0"/>
    <w:uiPriority w:val="20"/>
    <w:qFormat/>
    <w:rsid w:val="00E9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A460-1A8D-4AF6-8FAF-0CCDC729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11966</Words>
  <Characters>68211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Новиков Александр Александрович</cp:lastModifiedBy>
  <cp:revision>24</cp:revision>
  <dcterms:created xsi:type="dcterms:W3CDTF">2023-06-27T07:41:00Z</dcterms:created>
  <dcterms:modified xsi:type="dcterms:W3CDTF">2024-04-08T07:07:00Z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