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3F8" w:rsidRDefault="005223F8" w:rsidP="005223F8">
      <w:pPr>
        <w:jc w:val="right"/>
        <w:rPr>
          <w:b/>
        </w:rPr>
      </w:pPr>
      <w:r>
        <w:tab/>
      </w:r>
      <w:r>
        <w:rPr>
          <w:b/>
        </w:rPr>
        <w:t xml:space="preserve">Приложение </w:t>
      </w:r>
      <w:r w:rsidR="00246A81">
        <w:rPr>
          <w:b/>
        </w:rPr>
        <w:fldChar w:fldCharType="begin">
          <w:ffData>
            <w:name w:val="ТекстовоеПоле1"/>
            <w:enabled/>
            <w:calcOnExit w:val="0"/>
            <w:textInput>
              <w:default w:val=" 7 "/>
            </w:textInput>
          </w:ffData>
        </w:fldChar>
      </w:r>
      <w:bookmarkStart w:id="0" w:name="ТекстовоеПоле1"/>
      <w:r w:rsidR="00246A81">
        <w:rPr>
          <w:b/>
        </w:rPr>
        <w:instrText xml:space="preserve"> FORMTEXT </w:instrText>
      </w:r>
      <w:r w:rsidR="00246A81">
        <w:rPr>
          <w:b/>
        </w:rPr>
      </w:r>
      <w:r w:rsidR="00246A81">
        <w:rPr>
          <w:b/>
        </w:rPr>
        <w:fldChar w:fldCharType="separate"/>
      </w:r>
      <w:bookmarkStart w:id="1" w:name="_GoBack"/>
      <w:bookmarkEnd w:id="1"/>
      <w:r w:rsidR="00246A81">
        <w:rPr>
          <w:b/>
          <w:noProof/>
        </w:rPr>
        <w:t xml:space="preserve"> 7 </w:t>
      </w:r>
      <w:r w:rsidR="00246A81">
        <w:rPr>
          <w:b/>
        </w:rPr>
        <w:fldChar w:fldCharType="end"/>
      </w:r>
      <w:bookmarkEnd w:id="0"/>
    </w:p>
    <w:p w:rsidR="005223F8" w:rsidRDefault="005223F8" w:rsidP="005223F8">
      <w:pPr>
        <w:jc w:val="right"/>
        <w:rPr>
          <w:b/>
        </w:rPr>
      </w:pPr>
      <w:r>
        <w:rPr>
          <w:b/>
        </w:rPr>
        <w:t xml:space="preserve">к </w:t>
      </w:r>
      <w:r w:rsidR="004E295A">
        <w:rPr>
          <w:b/>
          <w:highlight w:val="lightGray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4E295A">
        <w:rPr>
          <w:b/>
          <w:highlight w:val="lightGray"/>
        </w:rPr>
        <w:instrText xml:space="preserve"> FORMTEXT </w:instrText>
      </w:r>
      <w:r w:rsidR="004E295A">
        <w:rPr>
          <w:b/>
          <w:highlight w:val="lightGray"/>
        </w:rPr>
      </w:r>
      <w:r w:rsidR="004E295A">
        <w:rPr>
          <w:b/>
          <w:highlight w:val="lightGray"/>
        </w:rPr>
        <w:fldChar w:fldCharType="separate"/>
      </w:r>
      <w:r w:rsidR="004E295A">
        <w:rPr>
          <w:b/>
          <w:noProof/>
          <w:highlight w:val="lightGray"/>
        </w:rPr>
        <w:t>Договору</w:t>
      </w:r>
      <w:r w:rsidR="004E295A">
        <w:rPr>
          <w:b/>
          <w:highlight w:val="lightGray"/>
        </w:rPr>
        <w:fldChar w:fldCharType="end"/>
      </w:r>
      <w:r>
        <w:rPr>
          <w:b/>
        </w:rPr>
        <w:t xml:space="preserve"> № 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</w:p>
    <w:p w:rsidR="005223F8" w:rsidRDefault="005223F8" w:rsidP="005223F8">
      <w:pPr>
        <w:jc w:val="right"/>
        <w:rPr>
          <w:b/>
        </w:rPr>
      </w:pPr>
      <w:r>
        <w:rPr>
          <w:b/>
        </w:rPr>
        <w:t>от «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>»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 xml:space="preserve"> 20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>г</w:t>
      </w:r>
    </w:p>
    <w:p w:rsidR="005223F8" w:rsidRDefault="005223F8" w:rsidP="005223F8">
      <w:pPr>
        <w:jc w:val="center"/>
        <w:rPr>
          <w:rFonts w:eastAsia="Calibri"/>
          <w:b/>
          <w:color w:val="000000"/>
          <w:highlight w:val="lightGray"/>
        </w:rPr>
      </w:pPr>
    </w:p>
    <w:p w:rsidR="005223F8" w:rsidRDefault="005223F8" w:rsidP="005223F8">
      <w:pPr>
        <w:ind w:firstLine="708"/>
        <w:rPr>
          <w:b/>
          <w:highlight w:val="lightGray"/>
        </w:rPr>
      </w:pPr>
    </w:p>
    <w:p w:rsidR="005223F8" w:rsidRDefault="005223F8" w:rsidP="005223F8">
      <w:pPr>
        <w:spacing w:before="120" w:after="120"/>
        <w:jc w:val="center"/>
        <w:rPr>
          <w:b/>
        </w:rPr>
      </w:pPr>
      <w:r>
        <w:rPr>
          <w:b/>
        </w:rPr>
        <w:t>А К Т</w:t>
      </w:r>
      <w:r>
        <w:rPr>
          <w:b/>
        </w:rPr>
        <w:br/>
        <w:t xml:space="preserve">приема-передачи документов, </w:t>
      </w:r>
      <w:r>
        <w:rPr>
          <w:b/>
        </w:rPr>
        <w:br/>
        <w:t>содержащих сведения конфиденциального характера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Мы, нижеподписавшиеся с одной стороны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в лице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</w:t>
      </w:r>
      <w:proofErr w:type="gramStart"/>
      <w:r>
        <w:t>действующ</w:t>
      </w:r>
      <w:proofErr w:type="gramEnd"/>
      <w:r w:rsidR="009B2B39"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>
        <w:instrText xml:space="preserve"> FORMTEXT </w:instrText>
      </w:r>
      <w:r w:rsidR="009B2B39">
        <w:fldChar w:fldCharType="separate"/>
      </w:r>
      <w:r>
        <w:t>его (-ей)</w:t>
      </w:r>
      <w:r w:rsidR="009B2B39">
        <w:fldChar w:fldCharType="end"/>
      </w:r>
      <w:r>
        <w:rPr>
          <w:rFonts w:ascii="Times New Roman CYR" w:hAnsi="Times New Roman CYR"/>
        </w:rPr>
        <w:t xml:space="preserve"> на основании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с другой стороны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в лице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</w:t>
      </w:r>
      <w:r>
        <w:t>действующ</w:t>
      </w:r>
      <w:r w:rsidR="009B2B39"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>
        <w:instrText xml:space="preserve"> FORMTEXT </w:instrText>
      </w:r>
      <w:r w:rsidR="009B2B39">
        <w:fldChar w:fldCharType="separate"/>
      </w:r>
      <w:r>
        <w:t>его (-ей)</w:t>
      </w:r>
      <w:r w:rsidR="009B2B39">
        <w:fldChar w:fldCharType="end"/>
      </w:r>
      <w:r>
        <w:t xml:space="preserve"> </w:t>
      </w:r>
      <w:r>
        <w:rPr>
          <w:rFonts w:ascii="Times New Roman CYR" w:hAnsi="Times New Roman CYR"/>
        </w:rPr>
        <w:t xml:space="preserve">на основании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составили настоящий Акт в том, что сторона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передала другой стороне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Конфиденциальную Информацию, в соответствии с заключенным </w:t>
      </w:r>
      <w:r w:rsidR="004E295A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Договором"/>
            </w:textInput>
          </w:ffData>
        </w:fldChar>
      </w:r>
      <w:r w:rsidR="004E295A">
        <w:rPr>
          <w:highlight w:val="lightGray"/>
        </w:rPr>
        <w:instrText xml:space="preserve"> FORMTEXT </w:instrText>
      </w:r>
      <w:r w:rsidR="004E295A">
        <w:rPr>
          <w:highlight w:val="lightGray"/>
        </w:rPr>
      </w:r>
      <w:r w:rsidR="004E295A">
        <w:rPr>
          <w:highlight w:val="lightGray"/>
        </w:rPr>
        <w:fldChar w:fldCharType="separate"/>
      </w:r>
      <w:r w:rsidR="004E295A">
        <w:rPr>
          <w:noProof/>
          <w:highlight w:val="lightGray"/>
        </w:rPr>
        <w:t>Договором</w:t>
      </w:r>
      <w:r w:rsidR="004E295A">
        <w:rPr>
          <w:highlight w:val="lightGray"/>
        </w:rPr>
        <w:fldChar w:fldCharType="end"/>
      </w:r>
      <w:r>
        <w:rPr>
          <w:rFonts w:ascii="Times New Roman CYR" w:hAnsi="Times New Roman CYR"/>
        </w:rPr>
        <w:t xml:space="preserve"> от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№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>.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Перечень передаваемой Конфиденциальной Информации: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1.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2.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Данная информация передана на бумажных носителях, а также на магнитных носителях (при необходимости). На носители информации нанесен гриф </w:t>
      </w:r>
      <w:r w:rsidRPr="00ED756B">
        <w:rPr>
          <w:rFonts w:ascii="Times New Roman CYR" w:hAnsi="Times New Roman CYR"/>
        </w:rPr>
        <w:t>конфиденциальности</w:t>
      </w:r>
      <w:r>
        <w:rPr>
          <w:rFonts w:ascii="Times New Roman CYR" w:hAnsi="Times New Roman CYR"/>
        </w:rPr>
        <w:t>.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Настоящий акт составлен в двух экземплярах.</w:t>
      </w:r>
    </w:p>
    <w:p w:rsidR="005223F8" w:rsidRDefault="005223F8" w:rsidP="005223F8">
      <w:pPr>
        <w:spacing w:line="360" w:lineRule="auto"/>
        <w:ind w:firstLine="709"/>
      </w:pPr>
    </w:p>
    <w:p w:rsidR="005223F8" w:rsidRDefault="005223F8" w:rsidP="005223F8">
      <w:pPr>
        <w:spacing w:line="360" w:lineRule="auto"/>
      </w:pPr>
      <w:r>
        <w:t xml:space="preserve">                                                         ПОДПИСИ СТОРОН   </w:t>
      </w:r>
    </w:p>
    <w:p w:rsidR="005223F8" w:rsidRDefault="005223F8" w:rsidP="005223F8">
      <w:pPr>
        <w:rPr>
          <w:b/>
          <w:highlight w:val="lightGray"/>
        </w:rPr>
      </w:pPr>
      <w:r>
        <w:rPr>
          <w:b/>
          <w:highlight w:val="lightGray"/>
        </w:rPr>
        <w:t xml:space="preserve">  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  <w:highlight w:val="lightGray"/>
        </w:rPr>
        <w:t xml:space="preserve">                                             </w:t>
      </w:r>
    </w:p>
    <w:p w:rsidR="005223F8" w:rsidRDefault="005223F8" w:rsidP="005223F8">
      <w:pPr>
        <w:rPr>
          <w:lang w:eastAsia="en-US"/>
        </w:rPr>
      </w:pPr>
    </w:p>
    <w:p w:rsidR="005223F8" w:rsidRDefault="005223F8" w:rsidP="005223F8">
      <w:r>
        <w:rPr>
          <w:b/>
        </w:rPr>
        <w:t xml:space="preserve"> 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 xml:space="preserve"> </w:t>
      </w:r>
    </w:p>
    <w:p w:rsidR="00203CE6" w:rsidRDefault="00203CE6" w:rsidP="005223F8">
      <w:pPr>
        <w:tabs>
          <w:tab w:val="left" w:pos="6850"/>
        </w:tabs>
      </w:pPr>
    </w:p>
    <w:sectPr w:rsidR="00203CE6" w:rsidSect="00203C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7A5" w:rsidRDefault="001F47A5" w:rsidP="00204078">
      <w:r>
        <w:separator/>
      </w:r>
    </w:p>
  </w:endnote>
  <w:endnote w:type="continuationSeparator" w:id="0">
    <w:p w:rsidR="001F47A5" w:rsidRDefault="001F47A5" w:rsidP="00204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78" w:rsidRDefault="0020407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005" w:rsidRDefault="00055005" w:rsidP="00055005">
    <w:pPr>
      <w:tabs>
        <w:tab w:val="center" w:pos="4677"/>
        <w:tab w:val="right" w:pos="9355"/>
      </w:tabs>
      <w:rPr>
        <w:sz w:val="20"/>
        <w:szCs w:val="20"/>
      </w:rPr>
    </w:pPr>
    <w:r>
      <w:rPr>
        <w:sz w:val="20"/>
        <w:szCs w:val="20"/>
      </w:rPr>
      <w:t xml:space="preserve">Рег. № 01.19\151.00.1 Стандартный договор купли-продажи </w:t>
    </w:r>
    <w:proofErr w:type="gramStart"/>
    <w:r>
      <w:rPr>
        <w:sz w:val="20"/>
        <w:szCs w:val="20"/>
      </w:rPr>
      <w:t>невостребованных</w:t>
    </w:r>
    <w:proofErr w:type="gramEnd"/>
    <w:r>
      <w:rPr>
        <w:sz w:val="20"/>
        <w:szCs w:val="20"/>
      </w:rPr>
      <w:t xml:space="preserve"> производством </w:t>
    </w:r>
  </w:p>
  <w:p w:rsidR="00055005" w:rsidRDefault="00055005" w:rsidP="00055005">
    <w:pPr>
      <w:pStyle w:val="a5"/>
      <w:rPr>
        <w:sz w:val="20"/>
        <w:szCs w:val="20"/>
      </w:rPr>
    </w:pPr>
    <w:r>
      <w:rPr>
        <w:sz w:val="20"/>
        <w:szCs w:val="20"/>
      </w:rPr>
      <w:t>и неликвидных товарно-материальных ценностей</w:t>
    </w:r>
  </w:p>
  <w:p w:rsidR="00204078" w:rsidRDefault="00204078">
    <w:pPr>
      <w:pStyle w:val="a5"/>
    </w:pPr>
  </w:p>
  <w:p w:rsidR="00204078" w:rsidRDefault="0020407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78" w:rsidRDefault="0020407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7A5" w:rsidRDefault="001F47A5" w:rsidP="00204078">
      <w:r>
        <w:separator/>
      </w:r>
    </w:p>
  </w:footnote>
  <w:footnote w:type="continuationSeparator" w:id="0">
    <w:p w:rsidR="001F47A5" w:rsidRDefault="001F47A5" w:rsidP="002040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78" w:rsidRDefault="0005500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74826" o:spid="_x0000_s2050" type="#_x0000_t136" style="position:absolute;left:0;text-align:left;margin-left:0;margin-top:0;width:558pt;height:101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РН СТАНДАРТ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78" w:rsidRDefault="0005500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74827" o:spid="_x0000_s2051" type="#_x0000_t136" style="position:absolute;left:0;text-align:left;margin-left:0;margin-top:0;width:558pt;height:101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РН СТАНДАРТ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78" w:rsidRDefault="0005500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74825" o:spid="_x0000_s2049" type="#_x0000_t136" style="position:absolute;left:0;text-align:left;margin-left:0;margin-top:0;width:558pt;height:101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РН СТАНДАРТ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forms" w:enforcement="1" w:cryptProviderType="rsaFull" w:cryptAlgorithmClass="hash" w:cryptAlgorithmType="typeAny" w:cryptAlgorithmSid="4" w:cryptSpinCount="100000" w:hash="X2GdUs9FfQNGO1VF8hfFRNEe3C8=" w:salt="1YIyHaf2cRq8/MSX1VBVHA==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3F8"/>
    <w:rsid w:val="00055005"/>
    <w:rsid w:val="00105F49"/>
    <w:rsid w:val="00140469"/>
    <w:rsid w:val="001B326F"/>
    <w:rsid w:val="001F47A5"/>
    <w:rsid w:val="00203CE6"/>
    <w:rsid w:val="00204078"/>
    <w:rsid w:val="00246A81"/>
    <w:rsid w:val="004E295A"/>
    <w:rsid w:val="005223F8"/>
    <w:rsid w:val="005979CF"/>
    <w:rsid w:val="009B2B39"/>
    <w:rsid w:val="009E60E2"/>
    <w:rsid w:val="00BD17DE"/>
    <w:rsid w:val="00EC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3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040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040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407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40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3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040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040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407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40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4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varazuvaeva</dc:creator>
  <cp:lastModifiedBy>staff</cp:lastModifiedBy>
  <cp:revision>4</cp:revision>
  <dcterms:created xsi:type="dcterms:W3CDTF">2019-10-24T07:07:00Z</dcterms:created>
  <dcterms:modified xsi:type="dcterms:W3CDTF">2019-10-24T08:33:00Z</dcterms:modified>
</cp:coreProperties>
</file>