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2" w:name="_GoBack"/>
      <w:bookmarkEnd w:id="2"/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E2359E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E2359E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E2359E" w:rsidRPr="00E2359E" w:rsidTr="00E625EF">
        <w:tc>
          <w:tcPr>
            <w:tcW w:w="2263" w:type="dxa"/>
          </w:tcPr>
          <w:p w:rsidR="00E2359E" w:rsidRDefault="00E2359E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№11</w:t>
            </w:r>
          </w:p>
        </w:tc>
        <w:tc>
          <w:tcPr>
            <w:tcW w:w="7082" w:type="dxa"/>
          </w:tcPr>
          <w:p w:rsidR="00E2359E" w:rsidRDefault="00E2359E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углеродному менеджменту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E2359E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E2359E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E2359E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  <w:p w:rsidR="00E2359E" w:rsidRDefault="00E2359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A2D7B" w:rsidRPr="00E2359E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3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Информацией, между ПАО «НК «Роснефть», его Аффилированными лицами и пользователями Системы;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определение Конфиденциальной Информации с учётом следующего: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Необходимо выбрать определение Конфиденциальной Информации с учётом следующего: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предполагает защиту информации с грифом &quot;Коммерческая тайна&quot;, имеющей для Роснефти коммерческую ценность либо потенциально обладающей коммерческой ценностью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1 предполагает защиту информации с грифом "Коммерческая тайна", имеющей для Роснефти коммерческую ценность либо потенциально обладающей коммерческой ценностью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1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третьим лицам, не предназначенную для широкого распространения и/или использования неограниченным кругом лиц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третьим лицам, не предназначенную для широкого распространения и/или использования неограниченным кругом лиц;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вариант 2 предполагает более широкий спектр информации, подлежащей защите, и рекомендуется для нестандартных договоров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2 предполагает более широкий спектр информации, подлежащей защите, и рекомендуется для нестандартных договоров.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2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либо в силу применимого к ней законодательства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либо в силу применимого к ней законодательства;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 любом случае Получающая Сторона раскроет только ту часть Конфиденциальной Информации, раскрытие которой необходимо для соблюдения требований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4.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2.4.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которые не должны его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конфиденциальности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пункт 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5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2.5.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"/>
            </w:textInput>
          </w:ffData>
        </w:fldCha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Федеральным законом от 29.07.2004 № 98-ФЗ «О коммерческой тайне» либо иным аналогичным законом.</w: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5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пункт 2.5.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6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2.6.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к настоящему Приложению к Договору"/>
            </w:textInput>
          </w:ffData>
        </w:fldCha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830015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3 к настоящему Приложению к Договору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российским применимым правом: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Необходимо выбрать формулировку для договоров/соглашений с российским применимым правом: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 этом убытки возмещаются в полной сумме сверх указанной неустойки (штрафная неустойка).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размер неустойки определяется куратором договора с учётом разъяснений, представленных ДПОБ в Пояснительной записке к настоящей оговорк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Примечание: размер неустойки определяется куратором договора с учётом разъяснений, представленных ДПОБ в Пояснительной записке к настоящей оговорке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причинённый таким Разглашением, при этом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(выбор соответствующего варианта ответственности осуществляется по решению Куратора договора)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(выбор соответствующего варианта ответственности осуществляется по решению Куратора договора)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3 (Роснефть является Получающей Стороной)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иностранным применимым правом: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Необходимо выбрать формулировку для договоров/соглашений с иностранным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>применимым правом: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1 (Роснефть раскрывающая сторона)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2 (Роснефть получающая сторона)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B47050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либ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либо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результате нарушения условий настоящий статьи;</w: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обязанность по доказыванию факта разглашения и размера убытков возлагается на Раскрывающую Сторону;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справедливости, которое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>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3 (Взаимное раскрытие)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 Получающей Стороной;"/>
            </w:textInput>
          </w:ffData>
        </w:fldCha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94F0C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Конфиденциальной Информации, произошедшего в результате нарушения условий настоящего Договора Получающей Стороной;</w: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Обязательства Получающей Стороны применительно к конкретной Конфиденциальной Информации, предоставляемой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4" w:name="ТекстовоеПоле1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до наступления наиболее поздней из следующих дат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4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5" w:name="ТекстовоеПоле2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(применимо при наличии вариативности нижеуказанных условий)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5"/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: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(1)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3 года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A02248" w:rsidRPr="00994F0C" w:rsidRDefault="00994F0C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6" w:name="ТекстовоеПоле3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6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 "/>
            </w:textInput>
          </w:ffData>
        </w:fldChar>
      </w:r>
      <w:bookmarkStart w:id="7" w:name="ТекстовоеПоле4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рамках которых планируется Раскрытие Конфиденциальной Информации </w: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7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2 применим только для Договоров, по которым предполагаются дальнейшие переговоры)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(пп. 2 применим только для Договоров, по которым предполагаются дальнейшие переговоры)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94F0C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5"/>
            <w:enabled/>
            <w:calcOnExit w:val="0"/>
            <w:textInput>
              <w:default w:val="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8" w:name="ТекстовоеПоле5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8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 "/>
            </w:textInput>
          </w:ffData>
        </w:fldChar>
      </w:r>
      <w:bookmarkStart w:id="9" w:name="ТекстовоеПоле6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отношении которого Стороны заключили юридически обязывающее соглашение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9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3 применим только для Договоров/Соглашений, по которым предполагаются дальнейшие переговоры)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(пп. 3 применим только для Договоров/Соглашений, по которым предполагаются дальнейшие переговоры)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10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0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11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1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12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2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в Секции "Закупочные процедуры" (далее - ЭТП)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[для закупок]/в КИС ПАО "НК "Роснефть" на базе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/3 (далее -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3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[для закупок]/в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РН 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3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>на ЭТП [для закупок]/в КИС SAP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>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электронный документ, в котором содержится ключ проверки (открытый ключ) квалифицированной электронной подписи, выданный аккредитованным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получен положительный результат проверки принадлежности владельцу квалифицированного сертификата квалифицированной ЭП, с помощью которой подписан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4" w:name="_Toc8647027"/>
      <w:bookmarkStart w:id="15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4"/>
      <w:bookmarkEnd w:id="15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6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6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lastRenderedPageBreak/>
        <w:t>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7" w:name="_Toc99118092"/>
      <w:bookmarkStart w:id="18" w:name="_Toc8647037"/>
      <w:r>
        <w:rPr>
          <w:lang w:val="ru-RU"/>
        </w:rPr>
        <w:t>О предоставлении бухгалтерской отчетности</w:t>
      </w:r>
      <w:bookmarkEnd w:id="17"/>
      <w:bookmarkEnd w:id="18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выбрать вариант: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1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2 для нерезидентов: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Consolidated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Balance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Sheet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(Бухгалтерский баланс),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Income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Statement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(Отчет о прибылях и убытках) на языке контрагента с переводом на русский либо английский язык.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C19">
        <w:rPr>
          <w:rFonts w:ascii="Times New Roman" w:hAnsi="Times New Roman" w:cs="Times New Roman"/>
          <w:b/>
          <w:sz w:val="24"/>
          <w:szCs w:val="24"/>
        </w:rPr>
        <w:t>Налоговые оговорки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9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9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AF632D">
        <w:rPr>
          <w:rFonts w:eastAsia="Calibri"/>
          <w:szCs w:val="24"/>
        </w:rPr>
      </w:r>
      <w:r w:rsidR="00AF632D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Pr="008C6FF2">
        <w:rPr>
          <w:rFonts w:ascii="Times New Roman" w:eastAsia="Calibri" w:hAnsi="Times New Roman" w:cs="Times New Roman"/>
          <w:sz w:val="24"/>
          <w:szCs w:val="24"/>
        </w:rPr>
        <w:instrText>FORMCHECKBOX</w:instrTex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="00AF632D">
        <w:rPr>
          <w:rFonts w:ascii="Times New Roman" w:eastAsia="Calibri" w:hAnsi="Times New Roman" w:cs="Times New Roman"/>
          <w:sz w:val="24"/>
          <w:szCs w:val="24"/>
        </w:rPr>
      </w:r>
      <w:r w:rsidR="00AF632D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избежании двойного налогообложения между РФ и юрисдикцией налогового резидентства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облагаются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т.ч.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20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20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E2359E" w:rsidRDefault="00E2359E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2359E" w:rsidRDefault="00E2359E" w:rsidP="00E2359E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№11</w:t>
      </w:r>
    </w:p>
    <w:p w:rsidR="00E2359E" w:rsidRDefault="00E2359E" w:rsidP="00E2359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2359E" w:rsidRPr="00E2359E" w:rsidRDefault="00E2359E" w:rsidP="00E2359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</w:t>
      </w:r>
      <w:r w:rsidRPr="00E2359E">
        <w:rPr>
          <w:rFonts w:ascii="Times New Roman" w:hAnsi="Times New Roman"/>
          <w:b/>
          <w:sz w:val="24"/>
          <w:szCs w:val="24"/>
          <w:lang w:val="ru-RU"/>
        </w:rPr>
        <w:t>о углеродному менеджменту</w:t>
      </w:r>
    </w:p>
    <w:p w:rsidR="00E2359E" w:rsidRDefault="00E2359E" w:rsidP="00E2359E">
      <w:pPr>
        <w:rPr>
          <w:rFonts w:ascii="Times New Roman" w:hAnsi="Times New Roman"/>
          <w:sz w:val="24"/>
          <w:szCs w:val="24"/>
          <w:lang w:val="ru-RU"/>
        </w:rPr>
      </w:pPr>
    </w:p>
    <w:p w:rsidR="00E2359E" w:rsidRDefault="00E2359E" w:rsidP="00E2359E">
      <w:pPr>
        <w:rPr>
          <w:rFonts w:ascii="Times New Roman" w:hAnsi="Times New Roman"/>
          <w:sz w:val="24"/>
          <w:szCs w:val="24"/>
          <w:lang w:val="ru-RU"/>
        </w:rPr>
      </w:pPr>
    </w:p>
    <w:p w:rsidR="00E2359E" w:rsidRPr="00E2359E" w:rsidRDefault="00E2359E" w:rsidP="00E2359E">
      <w:pPr>
        <w:widowControl/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>1. Стороны осознают важность предотвращения антропогенного изменения климата с учетом требований применимого законодательства, стратегических целей и имеющихся возможностей для достижения этих целей.</w:t>
      </w:r>
    </w:p>
    <w:p w:rsidR="00E2359E" w:rsidRDefault="00E2359E" w:rsidP="00E2359E">
      <w:pPr>
        <w:widowControl/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 Стороны поддерживают и намерены руководствоваться в ходе исполнения настоящего </w:t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FORMTEXT </w:instrText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separate"/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>Договора</w:t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end"/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общепринятыми инициативами и руководящими принципами в области снижения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выбросов парниковых газов.</w:t>
      </w: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E2359E" w:rsidRPr="00735B36" w:rsidTr="00755322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21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21"/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22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22"/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59E" w:rsidRDefault="00E2359E" w:rsidP="00E2359E">
      <w:pPr>
        <w:tabs>
          <w:tab w:val="left" w:pos="9390"/>
        </w:tabs>
        <w:spacing w:before="120" w:after="120" w:line="276" w:lineRule="auto"/>
        <w:ind w:right="21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805817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3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805817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E2359E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3D6F31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4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5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FD4F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6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7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7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8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8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9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9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71465" w:rsidRPr="00E2359E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от 03.10.2013 № 460; от 30.12.2014 № 723; от 18.08.2016 № 438; от 19.12.2016 № 741; от 28.02.2017 № 108; от 14.03.2017 № 139; от 06.04.2018 № 206; от 31.05.2018 № 347; от 15.07.2018 № 421; от 19.11.2018 № 720; от </w:t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t>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271465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B702F6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2359E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2359E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E2359E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E2359E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32D" w:rsidRDefault="00AF632D" w:rsidP="000B6615">
      <w:r>
        <w:separator/>
      </w:r>
    </w:p>
  </w:endnote>
  <w:endnote w:type="continuationSeparator" w:id="0">
    <w:p w:rsidR="00AF632D" w:rsidRDefault="00AF632D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335D9" w:rsidRPr="007A44FA" w:rsidRDefault="006335D9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C549F7" w:rsidRPr="00C549F7">
          <w:rPr>
            <w:rFonts w:ascii="Times New Roman" w:hAnsi="Times New Roman" w:cs="Times New Roman"/>
            <w:noProof/>
            <w:sz w:val="24"/>
            <w:lang w:val="ru-RU"/>
          </w:rPr>
          <w:t>1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32D" w:rsidRDefault="00AF632D" w:rsidP="000B6615">
      <w:r>
        <w:separator/>
      </w:r>
    </w:p>
  </w:footnote>
  <w:footnote w:type="continuationSeparator" w:id="0">
    <w:p w:rsidR="00AF632D" w:rsidRDefault="00AF632D" w:rsidP="000B6615">
      <w:r>
        <w:continuationSeparator/>
      </w:r>
    </w:p>
  </w:footnote>
  <w:footnote w:id="1">
    <w:p w:rsidR="006335D9" w:rsidRDefault="006335D9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2428"/>
    <w:rsid w:val="00493D4E"/>
    <w:rsid w:val="004A2D7B"/>
    <w:rsid w:val="004A55CA"/>
    <w:rsid w:val="004B4876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AF632D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9F7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359E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ED31C-8B29-4EDF-8DDA-55DE3862B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12353</Words>
  <Characters>70417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Позднова Мария Михайловна</cp:lastModifiedBy>
  <cp:revision>2</cp:revision>
  <dcterms:created xsi:type="dcterms:W3CDTF">2024-03-05T10:17:00Z</dcterms:created>
  <dcterms:modified xsi:type="dcterms:W3CDTF">2024-03-05T10:17:00Z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