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6C2239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6C2239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6C2239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6C2239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6C2239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6C2239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footerReference w:type="default" r:id="rId8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Стандартная оговорка </w:t>
      </w:r>
    </w:p>
    <w:p w:rsidR="00D1099F" w:rsidRPr="0049103E" w:rsidRDefault="00D1099F" w:rsidP="0049103E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</w:t>
      </w:r>
      <w:r w:rsidR="0049103E" w:rsidRPr="0049103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сохранности сведений конфиденциального характера</w:t>
      </w:r>
    </w:p>
    <w:p w:rsidR="00D1099F" w:rsidRPr="00D1099F" w:rsidRDefault="00D1099F" w:rsidP="00D1099F">
      <w:pPr>
        <w:rPr>
          <w:color w:val="000000" w:themeColor="text1"/>
          <w:lang w:val="ru-RU"/>
        </w:rPr>
      </w:pP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Pr="008C2A13">
        <w:rPr>
          <w:rFonts w:ascii="Times New Roman" w:hAnsi="Times New Roman"/>
          <w:color w:val="000000" w:themeColor="text1"/>
          <w:szCs w:val="24"/>
        </w:rPr>
        <w:t>Для целей настояще</w:t>
      </w:r>
      <w:r>
        <w:rPr>
          <w:rFonts w:ascii="Times New Roman" w:hAnsi="Times New Roman"/>
          <w:color w:val="000000" w:themeColor="text1"/>
          <w:szCs w:val="24"/>
        </w:rPr>
        <w:t>го раздела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термин</w:t>
      </w:r>
      <w:r>
        <w:rPr>
          <w:rFonts w:ascii="Times New Roman" w:hAnsi="Times New Roman"/>
          <w:color w:val="000000" w:themeColor="text1"/>
          <w:szCs w:val="24"/>
        </w:rPr>
        <w:t>ы:</w:t>
      </w:r>
      <w:r w:rsidRPr="008C2A1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«Раскрывающая сторона» означает для целей каждого случая обмена Конфиденциальной</w:t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color w:val="000000" w:themeColor="text1"/>
          <w:lang w:val="ru-RU"/>
        </w:rPr>
        <w:t xml:space="preserve"> 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«Получающая Сторона» означает для целей каждого случая обмена Конфиденциальной</w:t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Информацией в соответствии с настоящим</w:t>
      </w:r>
      <w:r w:rsidRPr="00D1099F">
        <w:rPr>
          <w:bCs/>
          <w:color w:val="000000" w:themeColor="text1"/>
          <w:lang w:val="ru-RU"/>
        </w:rPr>
        <w:t xml:space="preserve"> 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Договором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bCs/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D1099F" w:rsidRPr="0049103E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Информацией, между ПАО «НК «Роснефть», его Аффилированными лицами и пользователями Системы; </w:t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«Конфиденциальность информации» означает обязательное для выполнения лицом, получившим доступ к определенной Конфиденциальной информации, требование не передавать, не предоставлять, не раскрывать, не разглашать такую информацию третьим лицам без согласия ее обладателя;</w:t>
      </w:r>
    </w:p>
    <w:p w:rsidR="00D1099F" w:rsidRPr="00D1099F" w:rsidRDefault="00D1099F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«Конфиденциальная информация» означает любую информацию, предоставляемую в рамках настоящего</w:t>
      </w:r>
      <w:r w:rsidRPr="00D1099F">
        <w:rPr>
          <w:lang w:val="ru-RU"/>
        </w:rPr>
        <w:t xml:space="preserve"> 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в любой форме (в том числе, но не ограничиваясь,</w:t>
      </w:r>
      <w:r w:rsidRPr="00D1099F">
        <w:rPr>
          <w:lang w:val="ru-RU"/>
        </w:rPr>
        <w:t xml:space="preserve"> </w:t>
      </w: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третьим лицам, к которой у третьих лиц нет свободного доступа на законном основании, не предназначенную для широкого распространения и/или использования неограниченным кругом лиц; </w:t>
      </w:r>
    </w:p>
    <w:p w:rsidR="00D1099F" w:rsidRPr="0049103E" w:rsidRDefault="006C2239" w:rsidP="00D1099F">
      <w:pPr>
        <w:tabs>
          <w:tab w:val="num" w:pos="1140"/>
        </w:tabs>
        <w:ind w:firstLine="708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К «Конфиденциальной информации» также относится содержание настоящего Договора. "/>
            </w:textInput>
          </w:ffData>
        </w:fldCha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 xml:space="preserve">К «Конфиденциальной информации» также относится содержание настоящего Договора. </w:t>
      </w: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Примечание: с учетом п. 3 Пояснительной записки)"/>
            </w:textInput>
          </w:ffData>
        </w:fldCha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(Примечание: с учетом п. 3 Пояснительной записки)</w:t>
      </w:r>
      <w:r w:rsidR="00D1099F"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</w:p>
    <w:p w:rsidR="00D1099F" w:rsidRPr="0049103E" w:rsidRDefault="00D1099F" w:rsidP="00D1099F">
      <w:pPr>
        <w:tabs>
          <w:tab w:val="num" w:pos="709"/>
        </w:tabs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pPr>
      <w:r w:rsidRPr="00D1099F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ab/>
        <w:t xml:space="preserve">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Раскрывающей Стороны в нарушение настоящего 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instrText xml:space="preserve"> FORMTEXT </w:instrTex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separate"/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Договора</w:t>
      </w:r>
      <w:r w:rsidR="006C223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0"/>
          <w:highlight w:val="darkGray"/>
          <w:lang w:val="ru-RU" w:eastAsia="ru-RU"/>
        </w:rPr>
        <w:t>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77233">
        <w:rPr>
          <w:rFonts w:ascii="Times New Roman" w:hAnsi="Times New Roman"/>
          <w:color w:val="000000" w:themeColor="text1"/>
        </w:rPr>
        <w:t>«Режим Конфиденциальности» означает</w:t>
      </w:r>
      <w:r w:rsidRPr="000153E7">
        <w:rPr>
          <w:rFonts w:ascii="Times New Roman" w:hAnsi="Times New Roman"/>
          <w:color w:val="000000" w:themeColor="text1"/>
        </w:rPr>
        <w:t xml:space="preserve"> правовые, организационные, технические и иные принимаемые меры по охране информации, отнесенной к конфиденциальной.</w:t>
      </w:r>
    </w:p>
    <w:p w:rsidR="00D1099F" w:rsidRDefault="00D1099F" w:rsidP="00D1099F">
      <w:pPr>
        <w:pStyle w:val="10"/>
        <w:ind w:firstLine="708"/>
        <w:jc w:val="both"/>
        <w:rPr>
          <w:rFonts w:ascii="Times New Roman CYR" w:hAnsi="Times New Roman CYR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Получающая Сторона обязуется </w:t>
      </w:r>
      <w:r>
        <w:rPr>
          <w:rFonts w:ascii="Times New Roman" w:hAnsi="Times New Roman"/>
          <w:color w:val="000000" w:themeColor="text1"/>
        </w:rPr>
        <w:t xml:space="preserve">не разглашать Конфиденциальную Информацию, </w:t>
      </w:r>
      <w:r w:rsidRPr="00B845E7">
        <w:rPr>
          <w:rFonts w:ascii="Times New Roman" w:hAnsi="Times New Roman"/>
          <w:color w:val="000000" w:themeColor="text1"/>
        </w:rPr>
        <w:t>использовать Конфиденциальную Информацию исключит</w:t>
      </w:r>
      <w:r>
        <w:rPr>
          <w:rFonts w:ascii="Times New Roman" w:hAnsi="Times New Roman"/>
          <w:color w:val="000000" w:themeColor="text1"/>
        </w:rPr>
        <w:t xml:space="preserve">ельно в рамках предмета настоящего </w:t>
      </w:r>
      <w:r w:rsidR="006C2239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6C2239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6C2239">
        <w:rPr>
          <w:rFonts w:ascii="Times New Roman" w:hAnsi="Times New Roman"/>
          <w:color w:val="000000" w:themeColor="text1"/>
          <w:highlight w:val="darkGray"/>
        </w:rPr>
      </w:r>
      <w:r w:rsidR="006C2239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6C2239">
        <w:rPr>
          <w:rFonts w:ascii="Times New Roman" w:hAnsi="Times New Roman"/>
          <w:noProof/>
          <w:color w:val="000000" w:themeColor="text1"/>
          <w:highlight w:val="darkGray"/>
        </w:rPr>
        <w:t>Договора</w:t>
      </w:r>
      <w:r w:rsidR="006C2239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в целях исполнения обязательств по настоящему </w:t>
      </w:r>
      <w:bookmarkStart w:id="3" w:name="_GoBack"/>
      <w:r w:rsidR="006C2239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6C2239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="006C2239">
        <w:rPr>
          <w:rFonts w:ascii="Times New Roman" w:hAnsi="Times New Roman"/>
          <w:color w:val="000000" w:themeColor="text1"/>
          <w:highlight w:val="darkGray"/>
        </w:rPr>
      </w:r>
      <w:r w:rsidR="006C2239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="006C2239">
        <w:rPr>
          <w:rFonts w:ascii="Times New Roman" w:hAnsi="Times New Roman"/>
          <w:noProof/>
          <w:color w:val="000000" w:themeColor="text1"/>
          <w:highlight w:val="darkGray"/>
        </w:rPr>
        <w:t>Договору</w:t>
      </w:r>
      <w:r w:rsidR="006C2239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3"/>
      <w:r w:rsidRPr="00B845E7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</w:t>
      </w:r>
      <w:r w:rsidRPr="00B845E7">
        <w:rPr>
          <w:rFonts w:ascii="Times New Roman" w:hAnsi="Times New Roman"/>
          <w:color w:val="000000" w:themeColor="text1"/>
        </w:rPr>
        <w:t xml:space="preserve">не </w:t>
      </w:r>
      <w:r w:rsidRPr="00B845E7">
        <w:rPr>
          <w:rFonts w:ascii="Times New Roman" w:hAnsi="Times New Roman"/>
          <w:color w:val="000000" w:themeColor="text1"/>
        </w:rPr>
        <w:lastRenderedPageBreak/>
        <w:t xml:space="preserve">использовать Конфиденциальную </w:t>
      </w:r>
      <w:r>
        <w:rPr>
          <w:rFonts w:ascii="Times New Roman" w:hAnsi="Times New Roman"/>
          <w:color w:val="000000" w:themeColor="text1"/>
        </w:rPr>
        <w:t>И</w:t>
      </w:r>
      <w:r w:rsidRPr="00B845E7">
        <w:rPr>
          <w:rFonts w:ascii="Times New Roman" w:hAnsi="Times New Roman"/>
          <w:color w:val="000000" w:themeColor="text1"/>
        </w:rPr>
        <w:t>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</w:t>
      </w:r>
      <w:r>
        <w:rPr>
          <w:rFonts w:ascii="Times New Roman CYR" w:hAnsi="Times New Roman CYR"/>
        </w:rPr>
        <w:t xml:space="preserve">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noProof/>
          <w:color w:val="000000" w:themeColor="text1"/>
          <w:szCs w:val="24"/>
        </w:rPr>
      </w:pPr>
      <w:r>
        <w:rPr>
          <w:rFonts w:ascii="Times New Roman CYR" w:hAnsi="Times New Roman CYR"/>
        </w:rPr>
        <w:t xml:space="preserve">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аздел оговорки для включения в договоры поставки МТР, выполнения работ, оказания услуг: 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Раздел оговорки для включения в договоры поставки МТР, выполнения работ, оказания услуг: 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3. В рамках настоящего Договора/Соглашения Получающая сторона вправе предоставлять ПАО «НК «Роснефть» и/или Обществам Группы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3. В рамках настоящего Договора/Соглашения Получающая сторона вправе предоставлять ПАО «НК «Роснефть» и/или Обществам Группы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сведения об опыте поставки МТР/выполнении работ/оказании услуг с ПАО «НК «Роснефть» и Обществами Группы в объеме, требуемом для предоставления таких сведений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ля участия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для участия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Указанные сведения предоставляются в составе заявки на участие в закупках ПАО «НК «Роснефть» и Обществ Группы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Указанные сведения предоставляются в составе заявки на участие в закупках ПАО «НК «Роснефть» и Обществ Группы.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Предоставление таких сведений в указанных целях не является неправомерным раскрытием Конфиденциальной информации, получение согласия Раскрывающей стороны в порядке, указанном в п. ___ (4) настоящего Договора/Соглашения не требуется.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3C286C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Под «Обществами Группы» для целей применения данного пункта Договора/Соглашения следует понимать организации, включенные в Перечень взаимозависимых лиц Группы ПАО «НК «Роснефть»,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который является приложением к Положению Компании «О закупке товаров, работ, услуг» и размещен на официальном сайте в сети Интернет (www.zakupki.rosneft.ru)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который является приложением к Положению Компании «О закупке товаров, работ, услуг» и размещен на официальном сайте в сети Интернет (www.zakupki.rosneft.ru).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4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4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4.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: а)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: а)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</w:t>
      </w:r>
      <w:r>
        <w:rPr>
          <w:rFonts w:ascii="Times New Roman CYR" w:hAnsi="Times New Roman CYR"/>
        </w:rPr>
        <w:t xml:space="preserve">, </w:t>
      </w:r>
      <w:r w:rsidRPr="00B81A7C">
        <w:rPr>
          <w:rFonts w:ascii="Times New Roman CYR" w:hAnsi="Times New Roman CYR"/>
        </w:rPr>
        <w:t>а также в случае судебного либо арбитражного (третейского) спора с Раскрывающей Стороной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; б) прямо предусмотрено условиями настоящего Договора/Соглашения "/>
            </w:textInput>
          </w:ffData>
        </w:fldCha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; б) прямо предусмотрено условиями настоящего Договора/Соглашения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при включении в Договор условий о возможности предоставления сведений в составе заявки на участие в закупках ПАО &quot;НК &quot;Роснефть&quot; и/или Обществ Группы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>(Примечание: при включении в Договор условий о возможности предоставления сведений в составе заявки на участие в закупках ПАО "НК "Роснефть" и/или Обществ Группы)</w:t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. </w:t>
      </w:r>
      <w:r w:rsidRPr="003C286C">
        <w:rPr>
          <w:rFonts w:ascii="Times New Roman" w:hAnsi="Times New Roman"/>
          <w:color w:val="000000" w:themeColor="text1"/>
        </w:rPr>
        <w:t>Информация,</w:t>
      </w:r>
      <w:r w:rsidRPr="00655F31">
        <w:rPr>
          <w:rFonts w:ascii="Times New Roman" w:hAnsi="Times New Roman"/>
          <w:color w:val="000000" w:themeColor="text1"/>
        </w:rPr>
        <w:t xml:space="preserve">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5.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До предоставления Конфиденциальной Информации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>требующей раскрытия, Получающая Сторона предварительно в письменном виде либо в разумный срок (но не более 5 рабочих дней) уведомит Раскрывающую Сторону о необходимости раскрытия, если это не запрещено соответствующим законодательством</w:t>
      </w:r>
      <w:r w:rsidRPr="008C2A13">
        <w:rPr>
          <w:rFonts w:ascii="Times New Roman" w:hAnsi="Times New Roman"/>
          <w:color w:val="000000" w:themeColor="text1"/>
        </w:rPr>
        <w:t xml:space="preserve">, </w:t>
      </w:r>
      <w:r>
        <w:rPr>
          <w:rFonts w:ascii="Times New Roman" w:hAnsi="Times New Roman"/>
          <w:color w:val="000000" w:themeColor="text1"/>
        </w:rPr>
        <w:t xml:space="preserve">с указанием положений законодательства, в силу которых Получающая Сторона обязана предоставить Конфиденциальную Информацию, </w:t>
      </w:r>
      <w:r w:rsidRPr="008C2A13">
        <w:rPr>
          <w:rFonts w:ascii="Times New Roman" w:hAnsi="Times New Roman"/>
          <w:color w:val="000000" w:themeColor="text1"/>
        </w:rPr>
        <w:t>а также об условиях и сроках такого раскрытия</w:t>
      </w:r>
      <w:r>
        <w:rPr>
          <w:rFonts w:ascii="Times New Roman" w:hAnsi="Times New Roman"/>
          <w:color w:val="000000" w:themeColor="text1"/>
        </w:rPr>
        <w:t xml:space="preserve">. </w:t>
      </w:r>
    </w:p>
    <w:p w:rsidR="00D1099F" w:rsidRDefault="00D1099F" w:rsidP="00D1099F">
      <w:pPr>
        <w:pStyle w:val="1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  В любом случае Получающая Сторона </w:t>
      </w:r>
      <w:r w:rsidRPr="008C2A13">
        <w:rPr>
          <w:rFonts w:ascii="Times New Roman" w:hAnsi="Times New Roman"/>
          <w:color w:val="000000" w:themeColor="text1"/>
        </w:rPr>
        <w:t xml:space="preserve">раскроет только ту часть Конфиденциальной </w:t>
      </w:r>
      <w:r>
        <w:rPr>
          <w:rFonts w:ascii="Times New Roman" w:hAnsi="Times New Roman"/>
          <w:color w:val="000000" w:themeColor="text1"/>
        </w:rPr>
        <w:t>И</w:t>
      </w:r>
      <w:r w:rsidRPr="008C2A13">
        <w:rPr>
          <w:rFonts w:ascii="Times New Roman" w:hAnsi="Times New Roman"/>
          <w:color w:val="000000" w:themeColor="text1"/>
        </w:rPr>
        <w:t xml:space="preserve">нформации, раскрытие которой необходимо </w:t>
      </w:r>
      <w:r>
        <w:rPr>
          <w:rFonts w:ascii="Times New Roman" w:hAnsi="Times New Roman"/>
          <w:color w:val="000000" w:themeColor="text1"/>
        </w:rPr>
        <w:t xml:space="preserve">для соблюдения требований законодательства, </w:t>
      </w:r>
      <w:r w:rsidRPr="008C2A13">
        <w:rPr>
          <w:rFonts w:ascii="Times New Roman" w:hAnsi="Times New Roman"/>
          <w:color w:val="000000" w:themeColor="text1"/>
        </w:rPr>
        <w:t>вступивших в законную силу решений судов соответствующей юрисдикции</w:t>
      </w:r>
      <w:r w:rsidRPr="0025164D">
        <w:rPr>
          <w:rFonts w:ascii="Times New Roman" w:hAnsi="Times New Roman"/>
          <w:color w:val="000000" w:themeColor="text1"/>
        </w:rPr>
        <w:t xml:space="preserve"> </w:t>
      </w:r>
      <w:r w:rsidRPr="008C2A13">
        <w:rPr>
          <w:rFonts w:ascii="Times New Roman" w:hAnsi="Times New Roman"/>
          <w:color w:val="000000" w:themeColor="text1"/>
        </w:rPr>
        <w:t xml:space="preserve">либо законных требований </w:t>
      </w:r>
      <w:r>
        <w:rPr>
          <w:rFonts w:ascii="Times New Roman" w:hAnsi="Times New Roman"/>
          <w:color w:val="000000" w:themeColor="text1"/>
        </w:rPr>
        <w:t xml:space="preserve">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 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highlight w:val="darkGray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6. 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 xml:space="preserve">6. 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bookmarkStart w:id="4" w:name="ТекстовоеПоле7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которые не должны его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4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</w:t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lastRenderedPageBreak/>
        <w:t xml:space="preserve">рассматривается как нарушение обязательств по обеспечению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__ (11) настоящего Договора/Соглашения.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5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5 Пояснительной записки)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7.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Федеральным законом от 29.07.2004 № 98-ФЗ «О коммерческой тайне» либо иным аналогичным законом.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с учетом п. 6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(Примечание: с учетом п. 6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  <w:r w:rsidRPr="008A0472">
        <w:rPr>
          <w:rFonts w:ascii="Times New Roman" w:hAnsi="Times New Roman"/>
          <w:noProof/>
          <w:color w:val="000000" w:themeColor="text1"/>
        </w:rPr>
        <w:t xml:space="preserve">        </w:t>
      </w:r>
    </w:p>
    <w:p w:rsidR="00D1099F" w:rsidRPr="0049103E" w:rsidRDefault="00D1099F" w:rsidP="00D1099F">
      <w:pPr>
        <w:spacing w:line="20" w:lineRule="atLeast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pP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  <w:instrText>FORMTEXT</w:instrText>
      </w:r>
      <w:r w:rsidRPr="00D1099F">
        <w:rPr>
          <w:color w:val="000000" w:themeColor="text1"/>
          <w:highlight w:val="darkGray"/>
          <w:lang w:val="ru-RU"/>
        </w:rPr>
        <w:instrText xml:space="preserve">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D1099F">
        <w:rPr>
          <w:noProof/>
          <w:color w:val="000000" w:themeColor="text1"/>
          <w:highlight w:val="darkGray"/>
          <w:lang w:val="ru-RU"/>
        </w:rPr>
        <w:t>8.</w:t>
      </w:r>
      <w:r w:rsidRPr="00B13C14">
        <w:rPr>
          <w:color w:val="000000" w:themeColor="text1"/>
          <w:highlight w:val="darkGray"/>
        </w:rPr>
        <w:fldChar w:fldCharType="end"/>
      </w:r>
      <w:r w:rsidRPr="00D1099F">
        <w:rPr>
          <w:color w:val="000000" w:themeColor="text1"/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</w:t>
      </w:r>
      <w:r w:rsidRPr="00D1099F">
        <w:rPr>
          <w:lang w:val="ru-RU"/>
        </w:rPr>
        <w:t xml:space="preserve">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Информации в соответствии с настоящим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, не подлежит защите или подлежит защите в меньшей степени</w:t>
      </w:r>
      <w:r w:rsidRPr="00D1099F">
        <w:rPr>
          <w:lang w:val="ru-RU"/>
        </w:rPr>
        <w:t xml:space="preserve">, чем предусмотрено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настоящим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Договором/Соглашением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, это не отменяет и не уменьшает обязательств Получающей Стороны по настоящему 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instrText xml:space="preserve"> FORMTEXT </w:instrTex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separate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>Договору/Соглашению</w:t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fldChar w:fldCharType="end"/>
      </w:r>
      <w:r w:rsidRPr="0049103E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ru-RU" w:eastAsia="ru-RU"/>
        </w:rPr>
        <w:t xml:space="preserve">.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9.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Договору/Соглашению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>, и при условии обеспечения Получающей Стороной Режима конфиденциальности в отношении Конфиденциальной Информации.</w:t>
      </w:r>
      <w:r w:rsidRPr="00F15BC8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10.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По требованию Раскрывающей Стороны передача Конфиденциальной Информации оформляется Актом приёма-передачи (Приложение №</w:t>
      </w:r>
      <w:r w:rsidRPr="00B13C14">
        <w:rPr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13C14">
        <w:rPr>
          <w:color w:val="000000" w:themeColor="text1"/>
          <w:highlight w:val="darkGray"/>
        </w:rPr>
        <w:instrText xml:space="preserve"> FORMTEXT </w:instrText>
      </w:r>
      <w:r w:rsidRPr="00B13C14">
        <w:rPr>
          <w:color w:val="000000" w:themeColor="text1"/>
          <w:highlight w:val="darkGray"/>
        </w:rPr>
      </w:r>
      <w:r w:rsidRPr="00B13C14">
        <w:rPr>
          <w:color w:val="000000" w:themeColor="text1"/>
          <w:highlight w:val="darkGray"/>
        </w:rPr>
        <w:fldChar w:fldCharType="separate"/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noProof/>
          <w:color w:val="000000" w:themeColor="text1"/>
          <w:highlight w:val="darkGray"/>
        </w:rPr>
        <w:t> </w:t>
      </w:r>
      <w:r w:rsidRPr="00B13C14">
        <w:rPr>
          <w:color w:val="000000" w:themeColor="text1"/>
          <w:highlight w:val="darkGray"/>
        </w:rPr>
        <w:fldChar w:fldCharType="end"/>
      </w:r>
      <w:r>
        <w:rPr>
          <w:color w:val="000000" w:themeColor="text1"/>
        </w:rPr>
        <w:t xml:space="preserve">), </w:t>
      </w:r>
      <w:r w:rsidRPr="000C4C90">
        <w:rPr>
          <w:rFonts w:ascii="Times New Roman" w:hAnsi="Times New Roman"/>
          <w:color w:val="000000" w:themeColor="text1"/>
        </w:rPr>
        <w:t xml:space="preserve">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</w:t>
      </w:r>
      <w:r>
        <w:rPr>
          <w:rFonts w:ascii="Times New Roman" w:hAnsi="Times New Roman"/>
          <w:color w:val="000000" w:themeColor="text1"/>
        </w:rPr>
        <w:t xml:space="preserve">Акта приёма-передачи либо </w:t>
      </w:r>
      <w:r w:rsidRPr="000C4C90">
        <w:rPr>
          <w:rFonts w:ascii="Times New Roman" w:hAnsi="Times New Roman"/>
          <w:color w:val="000000" w:themeColor="text1"/>
        </w:rPr>
        <w:t xml:space="preserve">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а/Соглаше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color w:val="000000" w:themeColor="text1"/>
          <w:highlight w:val="darkGray"/>
        </w:rPr>
        <w:t>Договора/Соглашения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0C4C90">
        <w:rPr>
          <w:rFonts w:ascii="Times New Roman" w:hAnsi="Times New Roman"/>
          <w:color w:val="000000" w:themeColor="text1"/>
        </w:rPr>
        <w:t xml:space="preserve">. </w:t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C4586E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Pr="00C4586E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color w:val="000000" w:themeColor="text1"/>
          <w:highlight w:val="darkGray"/>
        </w:rPr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noProof/>
          <w:color w:val="000000" w:themeColor="text1"/>
          <w:highlight w:val="darkGray"/>
        </w:rPr>
        <w:t>11.</w:t>
      </w:r>
      <w:r w:rsidRPr="00C4586E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D779DA"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российски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российским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C4586E">
        <w:rPr>
          <w:rFonts w:ascii="Times New Roman" w:hAnsi="Times New Roman"/>
          <w:i/>
          <w:color w:val="000000" w:themeColor="text1"/>
          <w:highlight w:val="darkGray"/>
        </w:rPr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C4586E">
        <w:rPr>
          <w:rFonts w:ascii="Times New Roman" w:hAnsi="Times New Roman"/>
          <w:i/>
          <w:noProof/>
          <w:color w:val="000000" w:themeColor="text1"/>
          <w:highlight w:val="darkGray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C4586E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 этом убытки возмещаются в полной сумме сверх указанной неустойки (штрафная неустойка).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7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7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ЛИБО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ЛИБО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альный ущерб,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реальный ущерб,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причинённый таким Разглашением, при этом упущенная выгода возмещению не подлежит.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8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8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Вариант 3 (Роснефть является Получающей Стороной)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упущенная выгода возмещению не подлежит.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 с иностранным применимым правом: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>Необходимо выбрать формулировку для договоров с иностранным применимым правом: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FF71DD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Вариант 1 (Роснефть раскрывающая сторона) 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</w:p>
    <w:p w:rsidR="00D1099F" w:rsidRPr="00B77233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Договора/Соглашения, Получающая Сторона обязана: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77233">
        <w:rPr>
          <w:rFonts w:ascii="Times New Roman" w:hAnsi="Times New Roman"/>
          <w:color w:val="000000" w:themeColor="text1"/>
          <w:szCs w:val="24"/>
        </w:rPr>
        <w:t xml:space="preserve"> </w:t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(1) в полном объеме возметить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Договора/Соглашения;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Договора/Соглашения, и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i/>
          <w:color w:val="000000" w:themeColor="text1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2 (Роснефть получающая сторона)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 либо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в результате нарушения условий настоящий статьи;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обязанность по доказыванию факта разглашения и размера убытков возлагается на Раскрывающую Сторону;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color w:val="000000" w:themeColor="text1"/>
          <w:highlight w:val="darkGray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</w:t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lastRenderedPageBreak/>
        <w:t>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szCs w:val="24"/>
          <w:highlight w:val="darkGray"/>
        </w:rPr>
        <w:t xml:space="preserve">Вариант 3 (Взаимное раскрытие) </w:t>
      </w:r>
      <w:r w:rsidRPr="00B13C14">
        <w:rPr>
          <w:rFonts w:ascii="Times New Roman" w:hAnsi="Times New Roman"/>
          <w:i/>
          <w:color w:val="000000" w:themeColor="text1"/>
          <w:szCs w:val="24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/Соглашения Получающей Стороной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Конфиденциальной Информации, произошедшего в результате нарушения условий настоящего Договора/Соглашения Получающей Стороной;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Pr="00B13C14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  <w:highlight w:val="darkGray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  <w:szCs w:val="24"/>
        </w:rPr>
      </w:pP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szCs w:val="24"/>
          <w:highlight w:val="darkGray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B13C14">
        <w:rPr>
          <w:rFonts w:ascii="Times New Roman" w:hAnsi="Times New Roman"/>
          <w:color w:val="000000" w:themeColor="text1"/>
          <w:szCs w:val="24"/>
          <w:highlight w:val="darkGray"/>
        </w:rPr>
        <w:fldChar w:fldCharType="end"/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12.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 w:rsidRPr="0073203F">
        <w:rPr>
          <w:rFonts w:ascii="Times New Roman" w:hAnsi="Times New Roman"/>
          <w:color w:val="000000" w:themeColor="text1"/>
          <w:szCs w:val="24"/>
        </w:rPr>
        <w:t xml:space="preserve"> Обязательства Получающей Стороны применительно к конкретной Конфиденциальной Информации, </w:t>
      </w:r>
      <w:r>
        <w:rPr>
          <w:rFonts w:ascii="Times New Roman" w:hAnsi="Times New Roman"/>
          <w:color w:val="000000" w:themeColor="text1"/>
        </w:rPr>
        <w:t xml:space="preserve">предоставляемой по настоящему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у/Соглашению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Договору/Соглашению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, действуют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5" w:name="ТекстовоеПоле1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до наступления наиболее поздней из следующих дат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5"/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6" w:name="ТекстовоеПоле2"/>
      <w:r w:rsidRPr="00B13C14">
        <w:rPr>
          <w:rFonts w:ascii="Times New Roman" w:hAnsi="Times New Roman"/>
          <w:i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(применимо при наличии вариативности нижеуказанных условий)</w:t>
      </w:r>
      <w:r w:rsidRPr="00B13C14">
        <w:rPr>
          <w:rFonts w:ascii="Times New Roman" w:hAnsi="Times New Roman"/>
          <w:i/>
          <w:color w:val="000000" w:themeColor="text1"/>
          <w:highlight w:val="darkGray"/>
        </w:rPr>
        <w:fldChar w:fldCharType="end"/>
      </w:r>
      <w:bookmarkEnd w:id="6"/>
      <w:r>
        <w:rPr>
          <w:rFonts w:ascii="Times New Roman" w:hAnsi="Times New Roman"/>
          <w:color w:val="000000" w:themeColor="text1"/>
        </w:rPr>
        <w:t xml:space="preserve">: 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1)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1)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 года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r>
        <w:rPr>
          <w:rFonts w:ascii="Times New Roman" w:hAnsi="Times New Roman"/>
          <w:color w:val="000000" w:themeColor="text1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D1099F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7" w:name="ТекстовоеПоле3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2) 3 года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7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;"/>
            </w:textInput>
          </w:ffData>
        </w:fldChar>
      </w:r>
      <w:bookmarkStart w:id="8" w:name="ТекстовоеПоле4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рамках которых планируется Раскрытие Конфиденциальной Информации;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8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9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9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D1099F" w:rsidRPr="002847D9" w:rsidRDefault="00D1099F" w:rsidP="00D1099F">
      <w:pPr>
        <w:pStyle w:val="10"/>
        <w:ind w:firstLine="708"/>
        <w:jc w:val="both"/>
        <w:rPr>
          <w:rFonts w:ascii="Times New Roman" w:hAnsi="Times New Roman"/>
          <w:i/>
          <w:color w:val="000000" w:themeColor="text1"/>
        </w:rPr>
      </w:pPr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5"/>
            <w:enabled/>
            <w:calcOnExit w:val="0"/>
            <w:textInput>
              <w:default w:val="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9" w:name="ТекстовоеПоле5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>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9"/>
      <w:r w:rsidRPr="00B13C14">
        <w:rPr>
          <w:rFonts w:ascii="Times New Roman" w:hAnsi="Times New Roman"/>
          <w:color w:val="000000" w:themeColor="text1"/>
          <w:highlight w:val="darkGray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."/>
            </w:textInput>
          </w:ffData>
        </w:fldChar>
      </w:r>
      <w:bookmarkStart w:id="10" w:name="ТекстовоеПоле6"/>
      <w:r w:rsidRPr="00B13C14">
        <w:rPr>
          <w:rFonts w:ascii="Times New Roman" w:hAnsi="Times New Roman"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color w:val="000000" w:themeColor="text1"/>
          <w:highlight w:val="darkGray"/>
        </w:rPr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noProof/>
          <w:color w:val="000000" w:themeColor="text1"/>
          <w:highlight w:val="darkGray"/>
        </w:rPr>
        <w:t xml:space="preserve"> в отношении которого Стороны заключили юридически обязывающее соглашение.</w:t>
      </w:r>
      <w:r w:rsidRPr="00B13C14">
        <w:rPr>
          <w:rFonts w:ascii="Times New Roman" w:hAnsi="Times New Roman"/>
          <w:color w:val="000000" w:themeColor="text1"/>
          <w:highlight w:val="darkGray"/>
        </w:rPr>
        <w:fldChar w:fldCharType="end"/>
      </w:r>
      <w:bookmarkEnd w:id="10"/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с учетом п. 10 Пояснительной записки)"/>
            </w:textInput>
          </w:ffData>
        </w:fldCha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instrText xml:space="preserve"> FORMTEXT </w:instrTex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separate"/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t xml:space="preserve"> (Примечание: с учетом п. 10 Пояснительной записки)</w:t>
      </w:r>
      <w:r w:rsidRPr="00B13C14">
        <w:rPr>
          <w:rFonts w:ascii="Times New Roman" w:hAnsi="Times New Roman"/>
          <w:i/>
          <w:noProof/>
          <w:color w:val="000000" w:themeColor="text1"/>
          <w:highlight w:val="darkGray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Pr="00F96180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DB4DB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F96180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F96180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 w:rsidRPr="00F961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F96180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F96180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Настоящий Договор (дополнительное соглашение к нему, отгрузочная разнарядка к нему)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ЭП), имеющий идентификатор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 xml:space="preserve">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необходимости]. 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Договора (дополнительного соглашения к нему, отгрузочной разнарядки к нему) с использованием ЭП подписание Договора (дополнительного соглашения к нему, отгрузочной разнарядки к нему) осуществляется Сторонами/Покупателем /на электронной торговой площадке ЗАО "ТЭК-Торг" в Секции "Закупочные процедуры" (далее - ЭТП) адрес в сети интернет https://rn.tektorg.ru [для закупок]/в КИС ПАО "НК "Роснефть" на базе SAP R/3 (далее -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нему, отгрузочная разнарядка к нему)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Стороны/Покупателя по договору и порождает для Сторон юридические последствия в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установления, изменения и прекращения, взаимных прав и обязанностей при одновременном соблюдении следующих условий: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 случае подписания настоящего Договора (дополнительного соглашения к нему, отгрузочной разнарядки к нему) с использованием ЭП экземпляр настоящего Договора (дополнительного соглашения к нему, отгрузочной разнарядки к нему) в виде одного электронного документа или в виде нескольких электронных документов хранится на ЭТП адрес в сети интернет https://rn.tektorg.ru [для закупок]/в КИС SAP РН  [для внутригрупповых договоров] / на сайте оператора электронного юридически значимого документооборота с возможностью доступа к электронному документу каждой из Сторон.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заключение Договора в виде электронного документа с использованием ЭП, не является препятствием для подписания</w:t>
      </w:r>
      <w:r w:rsidRPr="00F96180">
        <w:rPr>
          <w:sz w:val="24"/>
          <w:szCs w:val="24"/>
          <w:lang w:val="ru-RU"/>
        </w:rPr>
        <w:t xml:space="preserve"> 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AB45C4" w:rsidRPr="00F96180" w:rsidRDefault="00066656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1.7.1.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прямо договорились, что подписание Покупателем отгрузочной разнарядки в</w:t>
      </w:r>
      <w:r w:rsidR="00C37A6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виде электронного документа с использованием ЭП, не является препятствием для подписания последующих отгрузочных разнарядок к Договору на бумажном носителе собственноручной подписью уполномоченного представителя Покупателя. Не применимо</w:t>
      </w:r>
    </w:p>
    <w:p w:rsidR="00AB45C4" w:rsidRPr="00F96180" w:rsidRDefault="00066656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1.7.2.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Обязательства Покупателя по своевременному направлению отгрузочной разнарядки, предусмотренные соответствующим пунктом Договора, считаются полностью исполненными в момент подписания отгрузочной разнарядки на ЭТП, датой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получения отгрузочной разнарядки Поставщиком является дата подписания отгрузочной разнарядки Покупателем на ЭТП.</w:t>
      </w:r>
      <w:r w:rsidR="00FA7EB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AB45C4"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Не применимо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 [для закупок]/в КИС SAP РН) [для внутригрупповых договоров]/ на сайте оператора электронного юридически значимого документооборота.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13.1.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13.2.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AB45C4" w:rsidRPr="00F96180" w:rsidRDefault="00AB45C4" w:rsidP="00F96180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13.3.</w:t>
      </w: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ab/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ЭП лица, подписавшего электронный документ.</w:t>
      </w:r>
    </w:p>
    <w:p w:rsidR="00AB45C4" w:rsidRPr="00F96180" w:rsidRDefault="00AB45C4" w:rsidP="00AB45C4">
      <w:pPr>
        <w:pStyle w:val="a4"/>
        <w:numPr>
          <w:ilvl w:val="0"/>
          <w:numId w:val="2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F9618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761BD" w:rsidRPr="00F96180" w:rsidRDefault="001761BD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Pr="00F96180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F96180"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 w:rsidRPr="00F96180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Pr="00F96180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9618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Электронный документ (ЭД)</w:t>
      </w:r>
      <w:r w:rsidRPr="00F9618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C37A6B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Подписанный с </w:t>
      </w:r>
      <w:r w:rsidR="00232055"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 действителен на момент подписания электронного документа (при наличии достоверной информации о моменте подписания электронного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sekr@knpz.rosneft.ru "/>
            </w:textInput>
          </w:ffData>
        </w:fldCha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C488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sekr@knpz.rosneft.ru </w:t>
      </w:r>
      <w:r w:rsidR="00DC488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________ "/>
            </w:textInput>
          </w:ffData>
        </w:fldCha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BF55A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__________________________ </w:t>
      </w:r>
      <w:r w:rsidR="00BF55A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1" w:name="_Toc8647027"/>
      <w:bookmarkStart w:id="12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1"/>
      <w:bookmarkEnd w:id="12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3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4" w:name="_Toc99118092"/>
      <w:bookmarkStart w:id="15" w:name="_Toc8647037"/>
      <w:r>
        <w:rPr>
          <w:lang w:val="ru-RU"/>
        </w:rPr>
        <w:t>О предоставлении бухгалтерской отчетности</w:t>
      </w:r>
      <w:bookmarkEnd w:id="14"/>
      <w:bookmarkEnd w:id="15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836881" w:rsidRDefault="00836881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№9.</w:t>
      </w:r>
    </w:p>
    <w:p w:rsidR="00D17C19" w:rsidRPr="00D17C19" w:rsidRDefault="00D17C19" w:rsidP="00D17C19">
      <w:pPr>
        <w:spacing w:before="12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7C19">
        <w:rPr>
          <w:rFonts w:ascii="Times New Roman" w:hAnsi="Times New Roman" w:cs="Times New Roman"/>
          <w:b/>
          <w:sz w:val="24"/>
          <w:szCs w:val="24"/>
        </w:rPr>
        <w:t>Налоговые оговорки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D17C19" w:rsidRPr="00484663" w:rsidRDefault="00484663" w:rsidP="00D17C19">
      <w:pPr>
        <w:widowControl/>
        <w:numPr>
          <w:ilvl w:val="0"/>
          <w:numId w:val="41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Покупатель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реализации работ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="00D17C19" w:rsidRPr="004846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D17C19" w:rsidRPr="00484663" w:rsidRDefault="00D17C19" w:rsidP="00D17C19">
      <w:pPr>
        <w:suppressAutoHyphens/>
        <w:jc w:val="both"/>
        <w:rPr>
          <w:rFonts w:eastAsia="Calibri"/>
          <w:b/>
          <w:szCs w:val="24"/>
          <w:lang w:val="ru-RU"/>
        </w:rPr>
      </w:pPr>
    </w:p>
    <w:p w:rsidR="00D17C19" w:rsidRPr="00484663" w:rsidRDefault="00073FFF" w:rsidP="00073FFF">
      <w:pPr>
        <w:widowControl/>
        <w:suppressAutoHyphens/>
        <w:spacing w:after="200"/>
        <w:contextualSpacing/>
        <w:jc w:val="center"/>
        <w:rPr>
          <w:rFonts w:eastAsia="Calibri"/>
          <w:i/>
          <w:szCs w:val="24"/>
          <w:lang w:val="ru-RU"/>
        </w:rPr>
      </w:pPr>
      <w:r>
        <w:rPr>
          <w:rFonts w:eastAsia="Calibri"/>
          <w:i/>
          <w:szCs w:val="24"/>
          <w:lang w:val="ru-RU"/>
        </w:rPr>
        <w:lastRenderedPageBreak/>
        <w:fldChar w:fldCharType="begin">
          <w:ffData>
            <w:name w:val="ТекстовоеПоле913"/>
            <w:enabled/>
            <w:calcOnExit w:val="0"/>
            <w:textInput>
              <w:default w:val="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"/>
            </w:textInput>
          </w:ffData>
        </w:fldChar>
      </w:r>
      <w:bookmarkStart w:id="16" w:name="ТекстовоеПоле913"/>
      <w:r>
        <w:rPr>
          <w:rFonts w:eastAsia="Calibri"/>
          <w:i/>
          <w:szCs w:val="24"/>
          <w:lang w:val="ru-RU"/>
        </w:rPr>
        <w:instrText xml:space="preserve"> FORMTEXT </w:instrText>
      </w:r>
      <w:r>
        <w:rPr>
          <w:rFonts w:eastAsia="Calibri"/>
          <w:i/>
          <w:szCs w:val="24"/>
          <w:lang w:val="ru-RU"/>
        </w:rPr>
      </w:r>
      <w:r>
        <w:rPr>
          <w:rFonts w:eastAsia="Calibri"/>
          <w:i/>
          <w:szCs w:val="24"/>
          <w:lang w:val="ru-RU"/>
        </w:rPr>
        <w:fldChar w:fldCharType="separate"/>
      </w:r>
      <w:r>
        <w:rPr>
          <w:rFonts w:eastAsia="Calibri"/>
          <w:i/>
          <w:noProof/>
          <w:szCs w:val="24"/>
          <w:lang w:val="ru-RU"/>
        </w:rPr>
        <w:t>Оговорка для включения в договоры с иностранными лицами в случае, когда предполагается выплата доходов иностранными лицами в адрес ПАО «НК «Роснефть» или ОГ.</w:t>
      </w:r>
      <w:r>
        <w:rPr>
          <w:rFonts w:eastAsia="Calibri"/>
          <w:i/>
          <w:szCs w:val="24"/>
          <w:lang w:val="ru-RU"/>
        </w:rPr>
        <w:fldChar w:fldCharType="end"/>
      </w:r>
      <w:bookmarkEnd w:id="16"/>
    </w:p>
    <w:p w:rsidR="00D17C19" w:rsidRPr="00484663" w:rsidRDefault="00D17C19" w:rsidP="00D17C19">
      <w:pPr>
        <w:suppressAutoHyphens/>
        <w:jc w:val="both"/>
        <w:rPr>
          <w:rFonts w:eastAsia="Calibri"/>
          <w:i/>
          <w:szCs w:val="24"/>
          <w:lang w:val="ru-RU"/>
        </w:rPr>
      </w:pPr>
    </w:p>
    <w:p w:rsidR="00D17C19" w:rsidRPr="008C6FF2" w:rsidRDefault="00D17C19" w:rsidP="00D17C19">
      <w:pPr>
        <w:suppressAutoHyphens/>
        <w:jc w:val="both"/>
        <w:rPr>
          <w:rFonts w:ascii="Times New Roman" w:eastAsia="Calibri" w:hAnsi="Times New Roman" w:cs="Times New Roman"/>
          <w:i/>
          <w:sz w:val="24"/>
          <w:szCs w:val="24"/>
          <w:lang w:val="ru-RU"/>
        </w:rPr>
      </w:pPr>
      <w:r w:rsidRPr="00DC19C1">
        <w:rPr>
          <w:rFonts w:eastAsia="Calibri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4663">
        <w:rPr>
          <w:rFonts w:eastAsia="Calibri"/>
          <w:szCs w:val="24"/>
          <w:lang w:val="ru-RU"/>
        </w:rPr>
        <w:instrText xml:space="preserve"> </w:instrText>
      </w:r>
      <w:r w:rsidRPr="00DC19C1">
        <w:rPr>
          <w:rFonts w:eastAsia="Calibri"/>
          <w:szCs w:val="24"/>
        </w:rPr>
        <w:instrText>FORMCHECKBOX</w:instrText>
      </w:r>
      <w:r w:rsidRPr="00484663">
        <w:rPr>
          <w:rFonts w:eastAsia="Calibri"/>
          <w:szCs w:val="24"/>
          <w:lang w:val="ru-RU"/>
        </w:rPr>
        <w:instrText xml:space="preserve"> </w:instrText>
      </w:r>
      <w:r w:rsidR="00DF19F1">
        <w:rPr>
          <w:rFonts w:eastAsia="Calibri"/>
          <w:szCs w:val="24"/>
        </w:rPr>
      </w:r>
      <w:r w:rsidR="00DF19F1">
        <w:rPr>
          <w:rFonts w:eastAsia="Calibri"/>
          <w:szCs w:val="24"/>
        </w:rPr>
        <w:fldChar w:fldCharType="separate"/>
      </w:r>
      <w:r w:rsidRPr="00DC19C1">
        <w:rPr>
          <w:rFonts w:eastAsia="Calibri"/>
          <w:szCs w:val="24"/>
        </w:rPr>
        <w:fldChar w:fldCharType="end"/>
      </w:r>
      <w:r w:rsidRPr="00DC19C1">
        <w:rPr>
          <w:rFonts w:eastAsia="Calibri"/>
          <w:szCs w:val="24"/>
        </w:rPr>
        <w:t> 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</w:t>
      </w:r>
      <w:r w:rsidR="00B87634"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/ </w:t>
      </w:r>
      <w:r w:rsidR="00B87634"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B87634" w:rsidRPr="001F3F2C">
        <w:rPr>
          <w:lang w:val="ru-RU"/>
        </w:rPr>
        <w:instrText xml:space="preserve"> </w:instrText>
      </w:r>
      <w:r w:rsidR="00B87634">
        <w:instrText>FORMCHECKBOX</w:instrText>
      </w:r>
      <w:r w:rsidR="00B87634" w:rsidRPr="001F3F2C">
        <w:rPr>
          <w:lang w:val="ru-RU"/>
        </w:rPr>
        <w:instrText xml:space="preserve"> </w:instrText>
      </w:r>
      <w:r w:rsidR="00DF19F1">
        <w:fldChar w:fldCharType="separate"/>
      </w:r>
      <w:r w:rsidR="00B87634">
        <w:fldChar w:fldCharType="end"/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Оговорка не применима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8C6FF2">
        <w:rPr>
          <w:rFonts w:ascii="Times New Roman" w:eastAsia="Calibri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8C6FF2">
        <w:rPr>
          <w:rFonts w:ascii="Times New Roman" w:eastAsia="Calibri" w:hAnsi="Times New Roman" w:cs="Times New Roman"/>
          <w:sz w:val="24"/>
          <w:szCs w:val="24"/>
        </w:rPr>
        <w:t>ii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) освобождаются от налогообложения (далее – Льготные положения),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проинформирует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должен представить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Покупателю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для целей применения последней Льготных положений.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выплате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Покупателем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адрес 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8C6FF2" w:rsidDel="00684BA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П</w:t>
      </w:r>
      <w:r w:rsidR="008C6FF2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оказывать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налога на прибыль (доход) у источника в бюджет соответствующего иностранного государства, содержащее информацию о наименовании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окупателя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, его ИНН или аналоге, названии налога в иностранном государстве, сумме дохода, с которого был удержан налог, ставке и сумме удержанного и перечисленного налога, а также копии подтверждающих уплату документов.</w:t>
      </w:r>
    </w:p>
    <w:p w:rsidR="00D17C19" w:rsidRPr="008C6FF2" w:rsidRDefault="00D17C19" w:rsidP="00D17C19">
      <w:pPr>
        <w:widowControl/>
        <w:numPr>
          <w:ilvl w:val="0"/>
          <w:numId w:val="37"/>
        </w:numPr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Продавцу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П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>окупатель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окажет </w:t>
      </w:r>
      <w:r w:rsidR="00BE061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Продавцу </w:t>
      </w: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содействие.</w:t>
      </w:r>
    </w:p>
    <w:p w:rsidR="00D17C19" w:rsidRPr="00612C6F" w:rsidRDefault="00D17C19" w:rsidP="00D17C19">
      <w:pPr>
        <w:widowControl/>
        <w:numPr>
          <w:ilvl w:val="0"/>
          <w:numId w:val="37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C6FF2">
        <w:rPr>
          <w:rFonts w:ascii="Times New Roman" w:eastAsia="Calibri" w:hAnsi="Times New Roman" w:cs="Times New Roman"/>
          <w:sz w:val="24"/>
          <w:szCs w:val="24"/>
          <w:lang w:val="ru-RU"/>
        </w:rPr>
        <w:t>В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случае удержания П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окупателем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у источника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документов,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="00BE061E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Pr="008C6FF2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сумм.</w:t>
      </w: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7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7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составлено в 2-х оригинальных экземплярах, </w:t>
      </w:r>
      <w:r w:rsidRPr="00493D4E">
        <w:rPr>
          <w:rFonts w:ascii="Times New Roman" w:hAnsi="Times New Roman"/>
          <w:sz w:val="24"/>
          <w:szCs w:val="24"/>
          <w:lang w:val="ru-RU"/>
        </w:rPr>
        <w:lastRenderedPageBreak/>
        <w:t>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tbl>
      <w:tblPr>
        <w:tblStyle w:val="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BF55AB" w:rsidRPr="00735B36" w:rsidTr="00BF55AB">
        <w:tc>
          <w:tcPr>
            <w:tcW w:w="4677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09"/>
                        <w:enabled/>
                        <w:calcOnExit w:val="0"/>
                        <w:textInput>
                          <w:default w:val="Продавца"/>
                        </w:textInput>
                      </w:ffData>
                    </w:fldChar>
                  </w:r>
                  <w:bookmarkStart w:id="18" w:name="ТекстовоеПоле909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Продавца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8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tbl>
            <w:tblPr>
              <w:tblW w:w="9668" w:type="dxa"/>
              <w:tblInd w:w="108" w:type="dxa"/>
              <w:tblLook w:val="0000" w:firstRow="0" w:lastRow="0" w:firstColumn="0" w:lastColumn="0" w:noHBand="0" w:noVBand="0"/>
            </w:tblPr>
            <w:tblGrid>
              <w:gridCol w:w="5040"/>
              <w:gridCol w:w="4628"/>
            </w:tblGrid>
            <w:tr w:rsidR="00BF55AB" w:rsidRPr="00735B36" w:rsidTr="00BF55AB">
              <w:tc>
                <w:tcPr>
                  <w:tcW w:w="5040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 xml:space="preserve">От имени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begin">
                      <w:ffData>
                        <w:name w:val="ТекстовоеПоле910"/>
                        <w:enabled/>
                        <w:calcOnExit w:val="0"/>
                        <w:textInput>
                          <w:default w:val="Покупателя"/>
                        </w:textInput>
                      </w:ffData>
                    </w:fldChar>
                  </w:r>
                  <w:bookmarkStart w:id="19" w:name="ТекстовоеПоле910"/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instrText xml:space="preserve"> FORMTEXT </w:instrTex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separate"/>
                  </w:r>
                  <w:r>
                    <w:rPr>
                      <w:rFonts w:ascii="Times New Roman" w:eastAsia="Calibri" w:hAnsi="Times New Roman" w:cs="Times New Roman"/>
                      <w:b/>
                      <w:noProof/>
                      <w:sz w:val="24"/>
                      <w:szCs w:val="24"/>
                      <w:lang w:val="ru-RU"/>
                    </w:rPr>
                    <w:t>Покупателя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fldChar w:fldCharType="end"/>
                  </w:r>
                  <w:bookmarkEnd w:id="19"/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4628" w:type="dxa"/>
                </w:tcPr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</w:pPr>
                  <w:r w:rsidRPr="0005277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u-RU"/>
                    </w:rPr>
                    <w:t>От имени Субподрядчика</w:t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наименование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наименование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bCs/>
                      <w:i/>
                      <w:sz w:val="24"/>
                      <w:szCs w:val="24"/>
                      <w:lang w:val="ru-RU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ать должность, ФИО"/>
                        </w:textInput>
                      </w:ffData>
                    </w:fldChar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instrText>FORMTEXT</w:instrText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ru-RU"/>
                    </w:rPr>
                    <w:instrText xml:space="preserve"> </w:instrTex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separate"/>
                  </w:r>
                  <w:r w:rsidRPr="0005277E">
                    <w:rPr>
                      <w:rFonts w:ascii="Times New Roman" w:eastAsia="Calibri" w:hAnsi="Times New Roman" w:cs="Times New Roman"/>
                      <w:i/>
                      <w:noProof/>
                      <w:sz w:val="24"/>
                      <w:szCs w:val="24"/>
                      <w:lang w:val="ru-RU"/>
                    </w:rPr>
                    <w:t>указать должность, ФИО</w:t>
                  </w:r>
                  <w:r w:rsidRPr="00735B36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fldChar w:fldCharType="end"/>
                  </w:r>
                </w:p>
                <w:p w:rsidR="00BF55AB" w:rsidRPr="0005277E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u-RU"/>
                    </w:rPr>
                  </w:pPr>
                </w:p>
                <w:p w:rsidR="00BF55AB" w:rsidRPr="00735B36" w:rsidRDefault="00BF55AB" w:rsidP="00BF55AB">
                  <w:pPr>
                    <w:spacing w:before="120" w:after="1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35B3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____________________</w:t>
                  </w:r>
                </w:p>
              </w:tc>
            </w:tr>
          </w:tbl>
          <w:p w:rsidR="00BF55AB" w:rsidRPr="00735B36" w:rsidRDefault="00BF55AB" w:rsidP="00BF55AB">
            <w:pPr>
              <w:spacing w:before="120" w:after="120"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D7B" w:rsidRPr="00BF55A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B075D" w:rsidRDefault="00FB075D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FB075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A16E3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A16E3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BD3FD0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20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BD3FD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BD3FD0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BD3FD0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BD3FD0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BD3FD0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26456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2645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26456" w:rsidRDefault="00226456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3AEB" w:rsidRDefault="00F43AE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43AEB" w:rsidRDefault="00F43AE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F43AE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="00226456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B4421F">
      <w:pPr>
        <w:widowControl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АО &quot;КНПЗ&quot;"/>
            </w:textInput>
          </w:ffData>
        </w:fldCha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F91616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АО "КНПЗ"</w:t>
      </w:r>
      <w:r w:rsidR="00F91616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785B44" w:rsidRDefault="00785B44" w:rsidP="002D38AB">
      <w:pPr>
        <w:rPr>
          <w:rFonts w:ascii="Times New Roman" w:hAnsi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"/>
            </w:textInput>
          </w:ffData>
        </w:fldCha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B546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</w:t>
      </w:r>
      <w:r w:rsidR="003B546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EB4673" w:rsidRPr="00EB4673" w:rsidRDefault="00EB4673" w:rsidP="005A2A30">
      <w:pPr>
        <w:widowControl/>
        <w:spacing w:line="360" w:lineRule="auto"/>
        <w:ind w:firstLine="709"/>
        <w:jc w:val="both"/>
        <w:rPr>
          <w:rFonts w:ascii="Times New Roman CYR" w:hAnsi="Times New Roman CYR"/>
          <w:lang w:val="ru-RU"/>
        </w:rPr>
      </w:pP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его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, действующ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его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"/>
            </w:textInput>
          </w:ffData>
        </w:fldCha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 CYR" w:eastAsia="Times New Roman" w:hAnsi="Times New Roman CYR" w:cs="Times New Roman"/>
          <w:noProof/>
          <w:sz w:val="24"/>
          <w:szCs w:val="24"/>
          <w:lang w:val="ru-RU" w:eastAsia="ru-RU"/>
        </w:rPr>
        <w:t>___________________</w:t>
      </w:r>
      <w:r w:rsidR="00226456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Договором</w:t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EB4673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</w:t>
      </w:r>
      <w:r w:rsidRPr="00EB4673">
        <w:rPr>
          <w:rFonts w:ascii="Times New Roman CYR" w:hAnsi="Times New Roman CYR"/>
          <w:lang w:val="ru-RU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  <w:instrText>FORMTEXT</w:instrText>
      </w:r>
      <w:r w:rsidRPr="00EB4673">
        <w:rPr>
          <w:rFonts w:ascii="Times New Roman CYR" w:hAnsi="Times New Roman CYR"/>
          <w:lang w:val="ru-RU"/>
        </w:rPr>
        <w:instrText xml:space="preserve">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EB4673">
        <w:rPr>
          <w:rFonts w:ascii="Times New Roman CYR" w:hAnsi="Times New Roman CYR"/>
          <w:noProof/>
          <w:lang w:val="ru-RU"/>
        </w:rPr>
        <w:t>____________</w:t>
      </w:r>
      <w:r>
        <w:rPr>
          <w:rFonts w:ascii="Times New Roman CYR" w:hAnsi="Times New Roman CYR"/>
        </w:rPr>
        <w:fldChar w:fldCharType="end"/>
      </w:r>
      <w:r w:rsidRPr="00EB4673">
        <w:rPr>
          <w:rFonts w:ascii="Times New Roman CYR" w:hAnsi="Times New Roman CYR"/>
          <w:lang w:val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0A2106" w:rsidRDefault="000A2106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D24629" w:rsidRPr="00271465" w:rsidRDefault="00D24629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A2106" w:rsidRDefault="000A2106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0A2106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932E9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5932E9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6C2239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3D6F31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1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2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  <w:p w:rsidR="00226456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6D6175" w:rsidRDefault="00226456" w:rsidP="002D15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3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</w:tc>
        <w:tc>
          <w:tcPr>
            <w:tcW w:w="2428" w:type="pct"/>
            <w:gridSpan w:val="2"/>
            <w:noWrap/>
          </w:tcPr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226456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4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5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6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6"/>
          </w:p>
        </w:tc>
      </w:tr>
    </w:tbl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334C1F" w:rsidRDefault="00334C1F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334C1F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BD3FD0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BD3FD0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FF75BB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от _______. _____. 20____г.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от _______. _____. 20____г.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315BB4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Акционерное общество «Куйбышевский нефтеперерабатывающий завод» (АО «КНПЗ»)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Акционерное общество «Куйбышевский нефтеперерабатывающий завод» (АО «КНПЗ»)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"/>
            </w:textInput>
          </w:ffData>
        </w:fldCha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F75BB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</w:t>
      </w:r>
      <w:r w:rsidR="00FF75BB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"/>
            </w:textInput>
          </w:ffData>
        </w:fldCha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315BB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</w:t>
      </w:r>
      <w:r w:rsidR="00315BB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26456" w:rsidRPr="006C2239" w:rsidTr="002D1527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2D1527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26456" w:rsidRPr="00271465" w:rsidTr="002D1527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6456" w:rsidRPr="00271465" w:rsidRDefault="00226456" w:rsidP="002D152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4C0599" w:rsidRPr="00271465" w:rsidRDefault="004C0599" w:rsidP="004C0599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________________"/>
            </w:textInput>
          </w:ffData>
        </w:fldCha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26456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на электронный адрес ________________</w:t>
      </w:r>
      <w:r w:rsidR="00226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задействованным в исполнении Договора."/>
            </w:textInput>
          </w:ffData>
        </w:fldCha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E82C53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задействованным в исполнении Договора.</w:t>
      </w:r>
      <w:r w:rsidR="00E82C53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26456" w:rsidRPr="00271465" w:rsidRDefault="00226456" w:rsidP="0022645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6D7DED6" wp14:editId="628C8E22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115BCB" id="Прямая соединительная линия 6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26456" w:rsidRPr="00271465" w:rsidRDefault="00226456" w:rsidP="002264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26456" w:rsidRPr="00271465" w:rsidTr="002D1527">
        <w:trPr>
          <w:trHeight w:val="249"/>
        </w:trPr>
        <w:tc>
          <w:tcPr>
            <w:tcW w:w="2151" w:type="pct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26456" w:rsidRPr="00271465" w:rsidRDefault="00226456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26456" w:rsidRPr="00271465" w:rsidRDefault="00226456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26456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26456" w:rsidRPr="00271465" w:rsidRDefault="00226456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226456" w:rsidRDefault="00226456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226456" w:rsidSect="006335D9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49103E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49103E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C738E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</w:t>
      </w:r>
      <w:r w:rsidR="00CC738E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"/>
            </w:textInput>
          </w:ffData>
        </w:fldCha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F47FCC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</w:t>
      </w:r>
      <w:r w:rsidR="00F47FC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6C2239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6C2239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6C2239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6C2239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037455" w:rsidRPr="00271465" w:rsidTr="002D1527">
        <w:trPr>
          <w:trHeight w:val="249"/>
        </w:trPr>
        <w:tc>
          <w:tcPr>
            <w:tcW w:w="2151" w:type="pct"/>
            <w:noWrap/>
          </w:tcPr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037455" w:rsidRPr="00271465" w:rsidRDefault="00037455" w:rsidP="002D152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037455" w:rsidRPr="00271465" w:rsidRDefault="00037455" w:rsidP="002D152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37455" w:rsidRPr="00271465" w:rsidTr="002D1527">
        <w:trPr>
          <w:trHeight w:val="249"/>
        </w:trPr>
        <w:tc>
          <w:tcPr>
            <w:tcW w:w="2572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037455" w:rsidRPr="00271465" w:rsidRDefault="00037455" w:rsidP="002D152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F47FCC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F1" w:rsidRDefault="00DF19F1" w:rsidP="000B6615">
      <w:r>
        <w:separator/>
      </w:r>
    </w:p>
  </w:endnote>
  <w:endnote w:type="continuationSeparator" w:id="0">
    <w:p w:rsidR="00DF19F1" w:rsidRDefault="00DF19F1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F55AB" w:rsidRPr="007A44FA" w:rsidRDefault="00BF55AB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6C2239" w:rsidRPr="006C2239">
          <w:rPr>
            <w:rFonts w:ascii="Times New Roman" w:hAnsi="Times New Roman" w:cs="Times New Roman"/>
            <w:noProof/>
            <w:sz w:val="24"/>
            <w:lang w:val="ru-RU"/>
          </w:rPr>
          <w:t>22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F1" w:rsidRDefault="00DF19F1" w:rsidP="000B6615">
      <w:r>
        <w:separator/>
      </w:r>
    </w:p>
  </w:footnote>
  <w:footnote w:type="continuationSeparator" w:id="0">
    <w:p w:rsidR="00DF19F1" w:rsidRDefault="00DF19F1" w:rsidP="000B6615">
      <w:r>
        <w:continuationSeparator/>
      </w:r>
    </w:p>
  </w:footnote>
  <w:footnote w:id="1">
    <w:p w:rsidR="00BF55AB" w:rsidRDefault="00BF55AB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9"/>
  </w:num>
  <w:num w:numId="3">
    <w:abstractNumId w:val="5"/>
  </w:num>
  <w:num w:numId="4">
    <w:abstractNumId w:val="4"/>
  </w:num>
  <w:num w:numId="5">
    <w:abstractNumId w:val="16"/>
  </w:num>
  <w:num w:numId="6">
    <w:abstractNumId w:val="40"/>
  </w:num>
  <w:num w:numId="7">
    <w:abstractNumId w:val="22"/>
  </w:num>
  <w:num w:numId="8">
    <w:abstractNumId w:val="0"/>
  </w:num>
  <w:num w:numId="9">
    <w:abstractNumId w:val="21"/>
  </w:num>
  <w:num w:numId="10">
    <w:abstractNumId w:val="27"/>
  </w:num>
  <w:num w:numId="11">
    <w:abstractNumId w:val="26"/>
  </w:num>
  <w:num w:numId="12">
    <w:abstractNumId w:val="17"/>
  </w:num>
  <w:num w:numId="13">
    <w:abstractNumId w:val="6"/>
  </w:num>
  <w:num w:numId="14">
    <w:abstractNumId w:val="33"/>
  </w:num>
  <w:num w:numId="15">
    <w:abstractNumId w:val="1"/>
  </w:num>
  <w:num w:numId="16">
    <w:abstractNumId w:val="37"/>
  </w:num>
  <w:num w:numId="17">
    <w:abstractNumId w:val="14"/>
  </w:num>
  <w:num w:numId="18">
    <w:abstractNumId w:val="11"/>
  </w:num>
  <w:num w:numId="19">
    <w:abstractNumId w:val="12"/>
  </w:num>
  <w:num w:numId="20">
    <w:abstractNumId w:val="2"/>
  </w:num>
  <w:num w:numId="21">
    <w:abstractNumId w:val="3"/>
  </w:num>
  <w:num w:numId="22">
    <w:abstractNumId w:val="13"/>
  </w:num>
  <w:num w:numId="23">
    <w:abstractNumId w:val="8"/>
  </w:num>
  <w:num w:numId="24">
    <w:abstractNumId w:val="38"/>
  </w:num>
  <w:num w:numId="25">
    <w:abstractNumId w:val="28"/>
  </w:num>
  <w:num w:numId="26">
    <w:abstractNumId w:val="36"/>
  </w:num>
  <w:num w:numId="27">
    <w:abstractNumId w:val="29"/>
  </w:num>
  <w:num w:numId="28">
    <w:abstractNumId w:val="18"/>
  </w:num>
  <w:num w:numId="29">
    <w:abstractNumId w:val="7"/>
  </w:num>
  <w:num w:numId="30">
    <w:abstractNumId w:val="32"/>
  </w:num>
  <w:num w:numId="31">
    <w:abstractNumId w:val="31"/>
  </w:num>
  <w:num w:numId="32">
    <w:abstractNumId w:val="10"/>
  </w:num>
  <w:num w:numId="33">
    <w:abstractNumId w:val="25"/>
  </w:num>
  <w:num w:numId="34">
    <w:abstractNumId w:val="9"/>
  </w:num>
  <w:num w:numId="35">
    <w:abstractNumId w:val="24"/>
  </w:num>
  <w:num w:numId="36">
    <w:abstractNumId w:val="15"/>
  </w:num>
  <w:num w:numId="37">
    <w:abstractNumId w:val="23"/>
  </w:num>
  <w:num w:numId="38">
    <w:abstractNumId w:val="35"/>
  </w:num>
  <w:num w:numId="39">
    <w:abstractNumId w:val="19"/>
  </w:num>
  <w:num w:numId="40">
    <w:abstractNumId w:val="30"/>
  </w:num>
  <w:num w:numId="41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37455"/>
    <w:rsid w:val="00043B37"/>
    <w:rsid w:val="00046995"/>
    <w:rsid w:val="000471E1"/>
    <w:rsid w:val="0005277E"/>
    <w:rsid w:val="00053035"/>
    <w:rsid w:val="00056941"/>
    <w:rsid w:val="00065402"/>
    <w:rsid w:val="000654DB"/>
    <w:rsid w:val="00066656"/>
    <w:rsid w:val="00071226"/>
    <w:rsid w:val="00073FFF"/>
    <w:rsid w:val="00083AB2"/>
    <w:rsid w:val="00086F16"/>
    <w:rsid w:val="000909FF"/>
    <w:rsid w:val="000A2106"/>
    <w:rsid w:val="000A37F9"/>
    <w:rsid w:val="000A5F4F"/>
    <w:rsid w:val="000B4B17"/>
    <w:rsid w:val="000B6615"/>
    <w:rsid w:val="000B674A"/>
    <w:rsid w:val="000C0EA0"/>
    <w:rsid w:val="000C10ED"/>
    <w:rsid w:val="000C1A44"/>
    <w:rsid w:val="000C61CB"/>
    <w:rsid w:val="000C6B3C"/>
    <w:rsid w:val="000D2B86"/>
    <w:rsid w:val="000E021D"/>
    <w:rsid w:val="000E20E4"/>
    <w:rsid w:val="000E45F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61BD"/>
    <w:rsid w:val="001764D9"/>
    <w:rsid w:val="00177D37"/>
    <w:rsid w:val="00180F64"/>
    <w:rsid w:val="0019409C"/>
    <w:rsid w:val="0019722D"/>
    <w:rsid w:val="001A116A"/>
    <w:rsid w:val="001A62EF"/>
    <w:rsid w:val="001B3511"/>
    <w:rsid w:val="001D113C"/>
    <w:rsid w:val="001D49B4"/>
    <w:rsid w:val="001D660E"/>
    <w:rsid w:val="001F0209"/>
    <w:rsid w:val="00206BE5"/>
    <w:rsid w:val="00210161"/>
    <w:rsid w:val="00226456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62C85"/>
    <w:rsid w:val="00271465"/>
    <w:rsid w:val="00272C0D"/>
    <w:rsid w:val="00286A40"/>
    <w:rsid w:val="00287A2D"/>
    <w:rsid w:val="002925F9"/>
    <w:rsid w:val="00296381"/>
    <w:rsid w:val="002A0A9A"/>
    <w:rsid w:val="002A1698"/>
    <w:rsid w:val="002A1EED"/>
    <w:rsid w:val="002A3439"/>
    <w:rsid w:val="002A467A"/>
    <w:rsid w:val="002A5CCD"/>
    <w:rsid w:val="002B7CF1"/>
    <w:rsid w:val="002C2F95"/>
    <w:rsid w:val="002C3E40"/>
    <w:rsid w:val="002D3019"/>
    <w:rsid w:val="002D38AB"/>
    <w:rsid w:val="002D3D77"/>
    <w:rsid w:val="002D45D1"/>
    <w:rsid w:val="002D6D45"/>
    <w:rsid w:val="002E0CE3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15BB4"/>
    <w:rsid w:val="00326BCC"/>
    <w:rsid w:val="00326C6A"/>
    <w:rsid w:val="003324CD"/>
    <w:rsid w:val="0033298C"/>
    <w:rsid w:val="00333CFE"/>
    <w:rsid w:val="00334C1F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0484"/>
    <w:rsid w:val="00393CB2"/>
    <w:rsid w:val="00395FEE"/>
    <w:rsid w:val="003A020C"/>
    <w:rsid w:val="003A0890"/>
    <w:rsid w:val="003A28ED"/>
    <w:rsid w:val="003A795C"/>
    <w:rsid w:val="003B52C0"/>
    <w:rsid w:val="003B5462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767A"/>
    <w:rsid w:val="004323EA"/>
    <w:rsid w:val="00443893"/>
    <w:rsid w:val="00443F56"/>
    <w:rsid w:val="00446324"/>
    <w:rsid w:val="00446E98"/>
    <w:rsid w:val="0045040A"/>
    <w:rsid w:val="004522D2"/>
    <w:rsid w:val="00452DBE"/>
    <w:rsid w:val="004566A9"/>
    <w:rsid w:val="00474471"/>
    <w:rsid w:val="00484663"/>
    <w:rsid w:val="004860A6"/>
    <w:rsid w:val="0048647A"/>
    <w:rsid w:val="0049103E"/>
    <w:rsid w:val="00492428"/>
    <w:rsid w:val="00493D4E"/>
    <w:rsid w:val="004A2D7B"/>
    <w:rsid w:val="004A55CA"/>
    <w:rsid w:val="004B4876"/>
    <w:rsid w:val="004C0599"/>
    <w:rsid w:val="004D5D25"/>
    <w:rsid w:val="004D66DD"/>
    <w:rsid w:val="004E78E5"/>
    <w:rsid w:val="004F62B5"/>
    <w:rsid w:val="004F64EB"/>
    <w:rsid w:val="00500790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32B"/>
    <w:rsid w:val="00571488"/>
    <w:rsid w:val="00580F63"/>
    <w:rsid w:val="00584C3D"/>
    <w:rsid w:val="005923DC"/>
    <w:rsid w:val="005932E9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E5EE8"/>
    <w:rsid w:val="005F7C83"/>
    <w:rsid w:val="005F7CEB"/>
    <w:rsid w:val="006022B0"/>
    <w:rsid w:val="00612C6F"/>
    <w:rsid w:val="00620FE5"/>
    <w:rsid w:val="006231CD"/>
    <w:rsid w:val="00631EFF"/>
    <w:rsid w:val="006335D9"/>
    <w:rsid w:val="006410A8"/>
    <w:rsid w:val="00645162"/>
    <w:rsid w:val="00652B4D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2239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11AA8"/>
    <w:rsid w:val="00726928"/>
    <w:rsid w:val="007270B9"/>
    <w:rsid w:val="00731F0D"/>
    <w:rsid w:val="00735E39"/>
    <w:rsid w:val="00750EE6"/>
    <w:rsid w:val="00751429"/>
    <w:rsid w:val="00755473"/>
    <w:rsid w:val="00756B40"/>
    <w:rsid w:val="00763895"/>
    <w:rsid w:val="007647A7"/>
    <w:rsid w:val="00767B7F"/>
    <w:rsid w:val="00774280"/>
    <w:rsid w:val="00782B3C"/>
    <w:rsid w:val="00785B44"/>
    <w:rsid w:val="00785DA1"/>
    <w:rsid w:val="00786A24"/>
    <w:rsid w:val="00786A7C"/>
    <w:rsid w:val="00791678"/>
    <w:rsid w:val="0079261F"/>
    <w:rsid w:val="00794D43"/>
    <w:rsid w:val="00795569"/>
    <w:rsid w:val="007978B0"/>
    <w:rsid w:val="007A2477"/>
    <w:rsid w:val="007A44FA"/>
    <w:rsid w:val="007B1589"/>
    <w:rsid w:val="007C05E5"/>
    <w:rsid w:val="007C4C1C"/>
    <w:rsid w:val="007D3918"/>
    <w:rsid w:val="007D71FC"/>
    <w:rsid w:val="007F3311"/>
    <w:rsid w:val="007F4C73"/>
    <w:rsid w:val="007F5653"/>
    <w:rsid w:val="007F698D"/>
    <w:rsid w:val="00803675"/>
    <w:rsid w:val="00810E0B"/>
    <w:rsid w:val="00812199"/>
    <w:rsid w:val="00813F1D"/>
    <w:rsid w:val="0082153D"/>
    <w:rsid w:val="00822D16"/>
    <w:rsid w:val="00826273"/>
    <w:rsid w:val="00830015"/>
    <w:rsid w:val="00836881"/>
    <w:rsid w:val="00842694"/>
    <w:rsid w:val="00843CFC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C7C23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56803"/>
    <w:rsid w:val="00964A3D"/>
    <w:rsid w:val="009658E3"/>
    <w:rsid w:val="009669E8"/>
    <w:rsid w:val="0096704A"/>
    <w:rsid w:val="00975C97"/>
    <w:rsid w:val="009771FE"/>
    <w:rsid w:val="009837C5"/>
    <w:rsid w:val="00984F82"/>
    <w:rsid w:val="00994F0C"/>
    <w:rsid w:val="009A0519"/>
    <w:rsid w:val="009A2C19"/>
    <w:rsid w:val="009B087B"/>
    <w:rsid w:val="009C096A"/>
    <w:rsid w:val="009C0FEE"/>
    <w:rsid w:val="009C13E7"/>
    <w:rsid w:val="009C373E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16E3E"/>
    <w:rsid w:val="00A37052"/>
    <w:rsid w:val="00A449B1"/>
    <w:rsid w:val="00A55BB7"/>
    <w:rsid w:val="00A62F69"/>
    <w:rsid w:val="00A64AFD"/>
    <w:rsid w:val="00A658AB"/>
    <w:rsid w:val="00A666F9"/>
    <w:rsid w:val="00A71803"/>
    <w:rsid w:val="00A9287A"/>
    <w:rsid w:val="00A96A30"/>
    <w:rsid w:val="00AA0CBD"/>
    <w:rsid w:val="00AA112A"/>
    <w:rsid w:val="00AB0AF1"/>
    <w:rsid w:val="00AB4173"/>
    <w:rsid w:val="00AB45C4"/>
    <w:rsid w:val="00AB6D48"/>
    <w:rsid w:val="00AC3838"/>
    <w:rsid w:val="00AD44F1"/>
    <w:rsid w:val="00AE4265"/>
    <w:rsid w:val="00AE5327"/>
    <w:rsid w:val="00AF2794"/>
    <w:rsid w:val="00B073E9"/>
    <w:rsid w:val="00B0778A"/>
    <w:rsid w:val="00B10336"/>
    <w:rsid w:val="00B1034A"/>
    <w:rsid w:val="00B17C35"/>
    <w:rsid w:val="00B20A64"/>
    <w:rsid w:val="00B22EDA"/>
    <w:rsid w:val="00B239DC"/>
    <w:rsid w:val="00B23C42"/>
    <w:rsid w:val="00B3796C"/>
    <w:rsid w:val="00B40B41"/>
    <w:rsid w:val="00B4421F"/>
    <w:rsid w:val="00B47050"/>
    <w:rsid w:val="00B52409"/>
    <w:rsid w:val="00B53554"/>
    <w:rsid w:val="00B5734D"/>
    <w:rsid w:val="00B57C44"/>
    <w:rsid w:val="00B60359"/>
    <w:rsid w:val="00B702F6"/>
    <w:rsid w:val="00B709FE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87634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D3FD0"/>
    <w:rsid w:val="00BE061E"/>
    <w:rsid w:val="00BE307B"/>
    <w:rsid w:val="00BE41A1"/>
    <w:rsid w:val="00BF076E"/>
    <w:rsid w:val="00BF55AB"/>
    <w:rsid w:val="00C01606"/>
    <w:rsid w:val="00C03D83"/>
    <w:rsid w:val="00C050F6"/>
    <w:rsid w:val="00C06DAC"/>
    <w:rsid w:val="00C072AC"/>
    <w:rsid w:val="00C118B1"/>
    <w:rsid w:val="00C12CB4"/>
    <w:rsid w:val="00C15055"/>
    <w:rsid w:val="00C253FA"/>
    <w:rsid w:val="00C320ED"/>
    <w:rsid w:val="00C328E4"/>
    <w:rsid w:val="00C37A6B"/>
    <w:rsid w:val="00C45E79"/>
    <w:rsid w:val="00C5324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51C5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C738E"/>
    <w:rsid w:val="00CD035F"/>
    <w:rsid w:val="00CD0BA0"/>
    <w:rsid w:val="00CD526B"/>
    <w:rsid w:val="00CD7235"/>
    <w:rsid w:val="00CE271F"/>
    <w:rsid w:val="00CF14E3"/>
    <w:rsid w:val="00CF1AF9"/>
    <w:rsid w:val="00CF22F2"/>
    <w:rsid w:val="00CF5295"/>
    <w:rsid w:val="00D05876"/>
    <w:rsid w:val="00D1099F"/>
    <w:rsid w:val="00D123D5"/>
    <w:rsid w:val="00D131D9"/>
    <w:rsid w:val="00D17C19"/>
    <w:rsid w:val="00D2462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C310E"/>
    <w:rsid w:val="00DC488F"/>
    <w:rsid w:val="00DD21D4"/>
    <w:rsid w:val="00DD75D1"/>
    <w:rsid w:val="00DD7CE8"/>
    <w:rsid w:val="00DE6288"/>
    <w:rsid w:val="00DF0A9C"/>
    <w:rsid w:val="00DF19F1"/>
    <w:rsid w:val="00DF262F"/>
    <w:rsid w:val="00E0358B"/>
    <w:rsid w:val="00E10393"/>
    <w:rsid w:val="00E12875"/>
    <w:rsid w:val="00E15029"/>
    <w:rsid w:val="00E205BE"/>
    <w:rsid w:val="00E25C20"/>
    <w:rsid w:val="00E302E3"/>
    <w:rsid w:val="00E30408"/>
    <w:rsid w:val="00E330DF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0D43"/>
    <w:rsid w:val="00E61D6C"/>
    <w:rsid w:val="00E625EF"/>
    <w:rsid w:val="00E65F43"/>
    <w:rsid w:val="00E67555"/>
    <w:rsid w:val="00E82C53"/>
    <w:rsid w:val="00E90675"/>
    <w:rsid w:val="00E9364A"/>
    <w:rsid w:val="00E9610D"/>
    <w:rsid w:val="00E97819"/>
    <w:rsid w:val="00EA062A"/>
    <w:rsid w:val="00EB3EB5"/>
    <w:rsid w:val="00EB4673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298D"/>
    <w:rsid w:val="00F1320D"/>
    <w:rsid w:val="00F13747"/>
    <w:rsid w:val="00F178A7"/>
    <w:rsid w:val="00F43AEB"/>
    <w:rsid w:val="00F444AB"/>
    <w:rsid w:val="00F46536"/>
    <w:rsid w:val="00F47FCC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1616"/>
    <w:rsid w:val="00F96180"/>
    <w:rsid w:val="00F977BA"/>
    <w:rsid w:val="00F97C03"/>
    <w:rsid w:val="00F97C41"/>
    <w:rsid w:val="00FA0075"/>
    <w:rsid w:val="00FA4870"/>
    <w:rsid w:val="00FA4CF1"/>
    <w:rsid w:val="00FA7E36"/>
    <w:rsid w:val="00FA7EBA"/>
    <w:rsid w:val="00FB075D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2D9A"/>
    <w:rsid w:val="00FF458B"/>
    <w:rsid w:val="00FF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82C53"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customStyle="1" w:styleId="10">
    <w:name w:val="Обычный1"/>
    <w:uiPriority w:val="99"/>
    <w:rsid w:val="00D1099F"/>
    <w:pPr>
      <w:widowControl/>
    </w:pPr>
    <w:rPr>
      <w:rFonts w:ascii="Arial" w:eastAsia="Times New Roman" w:hAnsi="Arial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335F5-D185-40A3-9042-A3D13AA5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12294</Words>
  <Characters>70081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Хоменко Юлия Петровна</cp:lastModifiedBy>
  <cp:revision>14</cp:revision>
  <dcterms:created xsi:type="dcterms:W3CDTF">2024-09-04T05:24:00Z</dcterms:created>
  <dcterms:modified xsi:type="dcterms:W3CDTF">2024-11-08T12:02:00Z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</Properties>
</file>