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71846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71846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71846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71846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471846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471846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471846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«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Конфиденциальная Информация» 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471846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="00A02248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 xml:space="preserve">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</w:t>
      </w:r>
      <w:r w:rsidR="00471846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50 000,00</w:t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рублей и несанкционированного использования в </w:t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lastRenderedPageBreak/>
        <w:t xml:space="preserve">размере </w:t>
      </w:r>
      <w:r w:rsidR="00471846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50 000,00</w:t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3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3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 xml:space="preserve">, имеющий идентификатор OID </w:t>
      </w:r>
      <w:r w:rsidR="00471846">
        <w:rPr>
          <w:rFonts w:ascii="Times New Roman" w:hAnsi="Times New Roman"/>
          <w:i/>
          <w:sz w:val="24"/>
          <w:szCs w:val="24"/>
          <w:lang w:val="ru-RU"/>
        </w:rPr>
        <w:t>1.2.643.3.241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t xml:space="preserve">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4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4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5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5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на электронной торговой площадке ЗАО "ТЭК-Торг</w:t>
      </w:r>
      <w:r w:rsidR="00471846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" в Секции "Продажа имущества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" (далее - ЭТП) адрес в сети интернет </w:t>
      </w:r>
      <w:proofErr w:type="gramStart"/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="00471846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sale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6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proofErr w:type="gramStart"/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="00471846">
        <w:rPr>
          <w:rFonts w:ascii="Times New Roman" w:hAnsi="Times New Roman" w:cs="Times New Roman"/>
          <w:i/>
          <w:noProof/>
          <w:sz w:val="24"/>
          <w:szCs w:val="24"/>
        </w:rPr>
        <w:t>sale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6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proofErr w:type="gramEnd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 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подтверждена действительность сертификата квалифицированной ЭП с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Каждая из Сторон несет ответственность за обеспечение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конфиденциальности ключей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proofErr w:type="gramStart"/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-</w:t>
      </w:r>
      <w:proofErr w:type="gramEnd"/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="00B51063" w:rsidRPr="00B51063">
        <w:rPr>
          <w:rFonts w:ascii="Times New Roman" w:eastAsia="Calibri" w:hAnsi="Times New Roman" w:cs="Times New Roman"/>
          <w:sz w:val="24"/>
          <w:szCs w:val="24"/>
          <w:lang w:val="ru-RU"/>
        </w:rPr>
        <w:t>10</w:t>
      </w:r>
      <w:r w:rsidR="00B51063">
        <w:rPr>
          <w:rFonts w:ascii="Times New Roman" w:eastAsia="Calibri" w:hAnsi="Times New Roman" w:cs="Times New Roman"/>
          <w:sz w:val="24"/>
          <w:szCs w:val="24"/>
        </w:rPr>
        <w:t> </w:t>
      </w:r>
      <w:r w:rsidR="00B510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000,00 рублей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="00B51063">
        <w:rPr>
          <w:rFonts w:ascii="Times New Roman" w:eastAsia="Calibri" w:hAnsi="Times New Roman" w:cs="Times New Roman"/>
          <w:sz w:val="24"/>
          <w:szCs w:val="24"/>
          <w:lang w:val="ru-RU"/>
        </w:rPr>
        <w:t>14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7" w:name="_Toc8647027"/>
      <w:bookmarkStart w:id="8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7"/>
      <w:bookmarkEnd w:id="8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9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0" w:name="_Toc99118092"/>
      <w:bookmarkStart w:id="11" w:name="_Toc8647037"/>
      <w:r>
        <w:rPr>
          <w:lang w:val="ru-RU"/>
        </w:rPr>
        <w:t>О предоставлении бухгалтерской отчетности</w:t>
      </w:r>
      <w:bookmarkEnd w:id="10"/>
      <w:bookmarkEnd w:id="11"/>
      <w:r w:rsidR="00B51063">
        <w:rPr>
          <w:lang w:val="ru-RU"/>
        </w:rPr>
        <w:t xml:space="preserve"> (не применимо)</w:t>
      </w:r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2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2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471846">
        <w:rPr>
          <w:rFonts w:eastAsia="Calibri"/>
          <w:szCs w:val="24"/>
        </w:rPr>
      </w:r>
      <w:r w:rsidR="00471846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proofErr w:type="gram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51063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51063" w:rsidRPr="00B51063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B51063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="00B51063" w:rsidRPr="00B51063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B51063">
        <w:rPr>
          <w:rFonts w:ascii="Times New Roman" w:eastAsia="Calibri" w:hAnsi="Times New Roman" w:cs="Times New Roman"/>
          <w:sz w:val="24"/>
          <w:szCs w:val="24"/>
        </w:rPr>
      </w:r>
      <w:r w:rsidR="00B51063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</w:t>
      </w:r>
      <w:proofErr w:type="gram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="00B51063">
        <w:rPr>
          <w:rFonts w:ascii="Times New Roman" w:hAnsi="Times New Roman"/>
          <w:i/>
          <w:sz w:val="24"/>
          <w:szCs w:val="24"/>
          <w:lang w:val="ru-RU"/>
        </w:rPr>
        <w:t>10 000,00 рублей</w:t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3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3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05277E" w:rsidRPr="00735B36" w:rsidTr="0005277E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4" w:name="ТекстовоеПоле909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4"/>
                </w:p>
                <w:p w:rsidR="00B51063" w:rsidRPr="00B51063" w:rsidRDefault="00B51063" w:rsidP="00B51063">
                  <w:pPr>
                    <w:spacing w:line="360" w:lineRule="exact"/>
                    <w:jc w:val="both"/>
                    <w:rPr>
                      <w:b/>
                      <w:i/>
                      <w:shd w:val="clear" w:color="auto" w:fill="BFBFBF"/>
                      <w:lang w:val="ru-RU"/>
                    </w:rPr>
                  </w:pPr>
                  <w:r>
                    <w:rPr>
                      <w:b/>
                      <w:i/>
                      <w:shd w:val="clear" w:color="auto" w:fill="BFBFBF"/>
                      <w:lang w:val="ru-RU"/>
                    </w:rPr>
                    <w:t xml:space="preserve">ООО «РН-Туапсинский </w:t>
                  </w:r>
                  <w:proofErr w:type="spellStart"/>
                  <w:r>
                    <w:rPr>
                      <w:b/>
                      <w:i/>
                      <w:shd w:val="clear" w:color="auto" w:fill="BFBFBF"/>
                      <w:lang w:val="ru-RU"/>
                    </w:rPr>
                    <w:t>НПЗ»</w:t>
                  </w:r>
                  <w:proofErr w:type="spellEnd"/>
                </w:p>
                <w:p w:rsidR="00B51063" w:rsidRPr="00B51063" w:rsidRDefault="00B51063" w:rsidP="00B51063">
                  <w:pPr>
                    <w:spacing w:line="360" w:lineRule="exact"/>
                    <w:jc w:val="both"/>
                    <w:rPr>
                      <w:b/>
                      <w:i/>
                      <w:shd w:val="clear" w:color="auto" w:fill="BFBFBF"/>
                      <w:lang w:val="ru-RU"/>
                    </w:rPr>
                  </w:pPr>
                  <w:r w:rsidRPr="00B51063">
                    <w:rPr>
                      <w:b/>
                      <w:i/>
                      <w:shd w:val="clear" w:color="auto" w:fill="BFBFBF"/>
                      <w:lang w:val="ru-RU"/>
                    </w:rPr>
                    <w:t>Генеральный директор</w:t>
                  </w:r>
                  <w:r>
                    <w:rPr>
                      <w:b/>
                      <w:i/>
                      <w:shd w:val="clear" w:color="auto" w:fill="BFBFBF"/>
                      <w:lang w:val="ru-RU"/>
                    </w:rPr>
                    <w:t xml:space="preserve"> 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  <w:r w:rsidR="00B51063" w:rsidRPr="00B51063">
                    <w:rPr>
                      <w:rFonts w:ascii="Times New Roman" w:hAnsi="Times New Roman"/>
                      <w:shd w:val="clear" w:color="auto" w:fill="BFBFBF"/>
                      <w:lang w:val="ru-RU"/>
                    </w:rPr>
                    <w:t xml:space="preserve"> </w:t>
                  </w:r>
                  <w:r w:rsidR="00B51063" w:rsidRPr="00B51063">
                    <w:rPr>
                      <w:rFonts w:ascii="Times New Roman" w:hAnsi="Times New Roman"/>
                      <w:shd w:val="clear" w:color="auto" w:fill="BFBFBF"/>
                      <w:lang w:val="ru-RU"/>
                    </w:rPr>
                    <w:t>Д.Ф. Талипов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05277E" w:rsidRPr="00735B36" w:rsidTr="009B087B">
              <w:tc>
                <w:tcPr>
                  <w:tcW w:w="5040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5" w:name="ТекстовоеПоле910"/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 w:rsidR="004323E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5"/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05277E" w:rsidRPr="0005277E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05277E" w:rsidRPr="00735B36" w:rsidRDefault="0005277E" w:rsidP="009B087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05277E" w:rsidRPr="00735B36" w:rsidRDefault="0005277E" w:rsidP="009B087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471846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6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6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471846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471846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471846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471846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471846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471846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471846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471846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471846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471846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510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ООО «РН-Туапсинский НПЗ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B51063" w:rsidRPr="009F2A69" w:rsidRDefault="00B51063" w:rsidP="00B51063">
            <w:pPr>
              <w:spacing w:line="360" w:lineRule="exact"/>
              <w:jc w:val="both"/>
              <w:rPr>
                <w:b/>
                <w:i/>
                <w:shd w:val="clear" w:color="auto" w:fill="BFBFBF"/>
              </w:rPr>
            </w:pPr>
            <w:proofErr w:type="spellStart"/>
            <w:r>
              <w:rPr>
                <w:b/>
                <w:i/>
                <w:shd w:val="clear" w:color="auto" w:fill="BFBFBF"/>
              </w:rPr>
              <w:t>Генеральный</w:t>
            </w:r>
            <w:proofErr w:type="spellEnd"/>
            <w:r>
              <w:rPr>
                <w:b/>
                <w:i/>
                <w:shd w:val="clear" w:color="auto" w:fill="BFBFBF"/>
              </w:rPr>
              <w:t xml:space="preserve"> </w:t>
            </w:r>
            <w:proofErr w:type="spellStart"/>
            <w:r>
              <w:rPr>
                <w:b/>
                <w:i/>
                <w:shd w:val="clear" w:color="auto" w:fill="BFBFBF"/>
              </w:rPr>
              <w:t>директор</w:t>
            </w:r>
            <w:proofErr w:type="spellEnd"/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51063">
              <w:rPr>
                <w:rFonts w:ascii="Times New Roman" w:hAnsi="Times New Roman"/>
                <w:shd w:val="clear" w:color="auto" w:fill="BFBFBF"/>
              </w:rPr>
              <w:t xml:space="preserve">Д.Ф. </w:t>
            </w:r>
            <w:proofErr w:type="spellStart"/>
            <w:r w:rsidR="00B51063">
              <w:rPr>
                <w:rFonts w:ascii="Times New Roman" w:hAnsi="Times New Roman"/>
                <w:shd w:val="clear" w:color="auto" w:fill="BFBFBF"/>
              </w:rPr>
              <w:t>Талипов</w:t>
            </w:r>
            <w:proofErr w:type="spellEnd"/>
            <w:r w:rsidR="00B51063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</w:t>
      </w:r>
      <w:proofErr w:type="gramStart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подпись)   </w:t>
      </w:r>
      <w:proofErr w:type="gramEnd"/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471846">
        <w:trPr>
          <w:trHeight w:val="249"/>
        </w:trPr>
        <w:tc>
          <w:tcPr>
            <w:tcW w:w="2151" w:type="pct"/>
            <w:noWrap/>
          </w:tcPr>
          <w:p w:rsidR="002D38AB" w:rsidRPr="00B51063" w:rsidRDefault="002D38AB" w:rsidP="00B51063">
            <w:pPr>
              <w:spacing w:line="360" w:lineRule="exact"/>
              <w:jc w:val="both"/>
              <w:rPr>
                <w:b/>
                <w:i/>
                <w:shd w:val="clear" w:color="auto" w:fill="BFBFBF"/>
                <w:lang w:val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51063" w:rsidRPr="00B51063">
              <w:rPr>
                <w:b/>
                <w:i/>
                <w:shd w:val="clear" w:color="auto" w:fill="BFBFBF"/>
                <w:lang w:val="ru-RU"/>
              </w:rPr>
              <w:t>Генеральный директор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471846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47184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51063">
              <w:rPr>
                <w:rFonts w:ascii="Times New Roman" w:hAnsi="Times New Roman"/>
                <w:shd w:val="clear" w:color="auto" w:fill="BFBFBF"/>
              </w:rPr>
              <w:t xml:space="preserve">Д.Ф. </w:t>
            </w:r>
            <w:proofErr w:type="spellStart"/>
            <w:r w:rsidR="00B51063">
              <w:rPr>
                <w:rFonts w:ascii="Times New Roman" w:hAnsi="Times New Roman"/>
                <w:shd w:val="clear" w:color="auto" w:fill="BFBFBF"/>
              </w:rPr>
              <w:t>Талипов</w:t>
            </w:r>
            <w:proofErr w:type="spellEnd"/>
            <w:r w:rsidR="00B51063"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471846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471846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="00B5106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ООО «РН-Туапсинский НПЗ»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B5106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генерального директора</w:t>
      </w:r>
      <w:r w:rsid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</w:t>
      </w:r>
      <w:r w:rsidR="00482713"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Талипова Динара </w:t>
      </w:r>
      <w:proofErr w:type="spellStart"/>
      <w:r w:rsidR="00482713"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Фанисовича</w:t>
      </w:r>
      <w:proofErr w:type="spellEnd"/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действующ</w:t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48271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Устава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ОО «РН-Туапсинский НПЗ»"/>
                  </w:textInput>
                </w:ffData>
              </w:fldCha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ООО «РН-Туапсинский НПЗ»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482713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Генеральный директор</w:t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905"/>
        <w:gridCol w:w="788"/>
        <w:gridCol w:w="1486"/>
        <w:gridCol w:w="365"/>
        <w:gridCol w:w="2692"/>
        <w:gridCol w:w="778"/>
      </w:tblGrid>
      <w:tr w:rsidR="009079BD" w:rsidRPr="00471846" w:rsidTr="00482713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3544" w:type="dxa"/>
            <w:gridSpan w:val="4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3470" w:type="dxa"/>
            <w:gridSpan w:val="2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482713" w:rsidRPr="003A0890" w:rsidTr="00482713">
        <w:trPr>
          <w:trHeight w:hRule="exact" w:val="864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ТОРГ-12,</w:t>
            </w:r>
          </w:p>
          <w:p w:rsidR="00482713" w:rsidRPr="00190EE9" w:rsidRDefault="00482713" w:rsidP="0048271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формат утвержден приказом</w:t>
            </w:r>
          </w:p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ФНС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xls(xlsx), xml (утв. приказом ФНС России от 19.12.2018 № ММВ-7-15/820@), word, pdf, tiff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</w:t>
            </w:r>
          </w:p>
        </w:tc>
      </w:tr>
      <w:tr w:rsidR="00482713" w:rsidRPr="00482713" w:rsidTr="00482713">
        <w:trPr>
          <w:trHeight w:hRule="exact" w:val="839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передаточный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(УПД)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>FORMTEXT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xml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, утв. приказом ФНС России от 19.12.2018 № ММВ-7-15/820@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482713" w:rsidRPr="003A0890" w:rsidTr="00482713">
        <w:trPr>
          <w:trHeight w:hRule="exact" w:val="861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Акт оказанных услуг</w:t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формат утвержден приказом ФНС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>FORMTEXT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(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xlsx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), 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xml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(утв. приказом ФНС России от 19.12.2018 № ММВ-7-15/820@), 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word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pdf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tiff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оказанных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услуг</w:t>
            </w:r>
            <w:proofErr w:type="spellEnd"/>
          </w:p>
        </w:tc>
      </w:tr>
      <w:tr w:rsidR="00482713" w:rsidRPr="003A0890" w:rsidTr="00482713">
        <w:trPr>
          <w:trHeight w:hRule="exact" w:val="575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>FORMTEXT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xml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, утв. приказом ФНС России от 19.12.2018 № ММВ-7-15/820@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Счет-фактура</w:t>
            </w:r>
            <w:proofErr w:type="spellEnd"/>
          </w:p>
        </w:tc>
      </w:tr>
      <w:tr w:rsidR="00482713" w:rsidRPr="003A0890" w:rsidTr="00482713">
        <w:trPr>
          <w:trHeight w:hRule="exact" w:val="555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Корректировочный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счет-фактура</w:t>
            </w:r>
            <w:proofErr w:type="spellEnd"/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xml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, утв. приказом ФНС России ЕД-7-26/736@ от 12/10/2020</w:t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Корректировочный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счет-фактура</w:t>
            </w:r>
            <w:proofErr w:type="spellEnd"/>
          </w:p>
        </w:tc>
      </w:tr>
      <w:tr w:rsidR="00482713" w:rsidRPr="003A0890" w:rsidTr="00482713">
        <w:trPr>
          <w:trHeight w:hRule="exact" w:val="279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Отчет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агента</w:t>
            </w:r>
            <w:proofErr w:type="spellEnd"/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xls(xlsx), xml, word, pdf, tiff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Отчет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агента</w:t>
            </w:r>
            <w:proofErr w:type="spellEnd"/>
          </w:p>
        </w:tc>
      </w:tr>
      <w:tr w:rsidR="00482713" w:rsidRPr="003A0890" w:rsidTr="00482713">
        <w:trPr>
          <w:trHeight w:hRule="exact" w:val="298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сверки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расчетов</w:t>
            </w:r>
            <w:proofErr w:type="spellEnd"/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, word, pdf, tif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xls(xlsx), xml, word, pdf, tiff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сверки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расчетов</w:t>
            </w:r>
            <w:proofErr w:type="spellEnd"/>
          </w:p>
        </w:tc>
      </w:tr>
      <w:tr w:rsidR="00482713" w:rsidRPr="00482713" w:rsidTr="00482713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Иные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неформализованные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первичные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документы</w:t>
            </w:r>
            <w:proofErr w:type="spellEnd"/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d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pdf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Аналогичные документ на бумажном носителе</w:t>
            </w:r>
          </w:p>
        </w:tc>
      </w:tr>
      <w:tr w:rsidR="00482713" w:rsidRPr="003A0890" w:rsidTr="00482713">
        <w:trPr>
          <w:trHeight w:hRule="exact" w:val="906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ТОРГ-12,</w:t>
            </w:r>
          </w:p>
          <w:p w:rsidR="00482713" w:rsidRPr="00190EE9" w:rsidRDefault="00482713" w:rsidP="00482713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формат утвержден приказом</w:t>
            </w:r>
          </w:p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ФНС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ls(xlsx), xml (утв. приказом ФНС России от 19.12.2018 № ММВ-7-15/820@), word, pdf, tiff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xls(xlsx), xml (утв. приказом ФНС России от 19.12.2018 № ММВ-7-15/820@), word, pdf, tiff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</w:t>
            </w:r>
          </w:p>
        </w:tc>
      </w:tr>
      <w:tr w:rsidR="00482713" w:rsidRPr="00482713" w:rsidTr="00482713">
        <w:trPr>
          <w:trHeight w:hRule="exact" w:val="991"/>
          <w:jc w:val="center"/>
        </w:trPr>
        <w:tc>
          <w:tcPr>
            <w:tcW w:w="3119" w:type="dxa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передаточный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190EE9">
              <w:rPr>
                <w:rFonts w:ascii="Times New Roman" w:hAnsi="Times New Roman" w:cs="Times New Roman"/>
                <w:sz w:val="24"/>
                <w:szCs w:val="24"/>
              </w:rPr>
              <w:t xml:space="preserve"> (УПД)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xml, утв. приказом ФНС России от 19.12.2018 № ММВ-7-15/820@"/>
                  </w:textInput>
                </w:ffData>
              </w:fldChar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instrText>FORMTEXT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</w:rPr>
              <w:t>xml</w:t>
            </w:r>
            <w:r w:rsidRPr="00190EE9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, утв. приказом ФНС России от 19.12.2018 № ММВ-7-15/820@</w:t>
            </w:r>
            <w:r w:rsidRPr="00190EE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3470" w:type="dxa"/>
            <w:gridSpan w:val="2"/>
            <w:shd w:val="clear" w:color="auto" w:fill="FFFFFF"/>
          </w:tcPr>
          <w:p w:rsidR="00482713" w:rsidRPr="00190EE9" w:rsidRDefault="00482713" w:rsidP="004827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0E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Товарная накладная ТОРГ-12/Акт оказанных услуг/ Счет-фактура</w:t>
            </w:r>
          </w:p>
        </w:tc>
      </w:tr>
      <w:tr w:rsidR="009079BD" w:rsidRPr="00271465" w:rsidTr="004827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78" w:type="dxa"/>
          <w:trHeight w:val="249"/>
        </w:trPr>
        <w:tc>
          <w:tcPr>
            <w:tcW w:w="4024" w:type="dxa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ООО «РН-Туапсинский НПЗ»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482713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Генеральный директор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88" w:type="dxa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543" w:type="dxa"/>
            <w:gridSpan w:val="3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4827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78" w:type="dxa"/>
          <w:trHeight w:val="249"/>
        </w:trPr>
        <w:tc>
          <w:tcPr>
            <w:tcW w:w="4812" w:type="dxa"/>
            <w:gridSpan w:val="3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86" w:type="dxa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057" w:type="dxa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4827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78" w:type="dxa"/>
          <w:trHeight w:val="249"/>
        </w:trPr>
        <w:tc>
          <w:tcPr>
            <w:tcW w:w="4812" w:type="dxa"/>
            <w:gridSpan w:val="3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543" w:type="dxa"/>
            <w:gridSpan w:val="3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471846" w:rsidTr="0048271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78" w:type="dxa"/>
          <w:trHeight w:val="249"/>
        </w:trPr>
        <w:tc>
          <w:tcPr>
            <w:tcW w:w="4812" w:type="dxa"/>
            <w:gridSpan w:val="3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ООО «РН-Туапсинский НПЗ»"/>
                  </w:textInput>
                </w:ffData>
              </w:fldChar>
            </w:r>
            <w:bookmarkStart w:id="17" w:name="ТекстовоеПоле914"/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ООО «РН-Туапсинский НПЗ»</w: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7"/>
          </w:p>
          <w:p w:rsidR="006D6175" w:rsidRDefault="00482713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bookmarkStart w:id="18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Генеральный директор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8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48271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bookmarkStart w:id="19" w:name="ТекстовоеПоле916"/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48271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</w:p>
        </w:tc>
        <w:tc>
          <w:tcPr>
            <w:tcW w:w="4543" w:type="dxa"/>
            <w:gridSpan w:val="3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0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1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2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482713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ООО «РН-</w:t>
      </w:r>
      <w:r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Туапсинский НПЗ»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именуемое в дальнейшем </w:t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Продавец</w:t>
      </w:r>
      <w:r w:rsidR="00C253FA"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генерального директора </w:t>
      </w:r>
      <w:r w:rsidRPr="0048271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Талипова Динара Фанисовича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Устава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</w:t>
      </w:r>
      <w:proofErr w:type="gramStart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копии</w:t>
      </w:r>
      <w:proofErr w:type="gramEnd"/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471846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ОО «РН-Туапсинский НПЗ»"/>
                  </w:textInput>
                </w:ffData>
              </w:fldCha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ООО «РН-Туапсинский НПЗ»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48271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proofErr w:type="gramStart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482713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4827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ОО «РН-Туапсинский НПЗ»"/>
                  </w:textInput>
                </w:ffData>
              </w:fldCha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F6D2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ООО «РН-Туапсинский НПЗ»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482713" w:rsidRDefault="00482713" w:rsidP="00482713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Генеральный директор</w:t>
            </w:r>
          </w:p>
          <w:p w:rsidR="00386D77" w:rsidRPr="00271465" w:rsidRDefault="00386D77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F6D2F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F6D2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7184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71846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471846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471846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ОО «РН-Туапсинский НПЗ»"/>
                  </w:textInput>
                </w:ffData>
              </w:fldCha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F6D2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ООО «РН-Туапсинский НПЗ»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F6D2F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Генеральный директор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Генеральный директор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bookmarkStart w:id="23" w:name="_GoBack"/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.Ф. Талипов"/>
                  </w:textInput>
                </w:ffData>
              </w:fldCha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2F6D2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Д.Ф. Талипов</w:t>
            </w:r>
            <w:r w:rsidR="002F6D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bookmarkEnd w:id="23"/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B52" w:rsidRDefault="00F27B52" w:rsidP="000B6615">
      <w:r>
        <w:separator/>
      </w:r>
    </w:p>
  </w:endnote>
  <w:endnote w:type="continuationSeparator" w:id="0">
    <w:p w:rsidR="00F27B52" w:rsidRDefault="00F27B52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71846" w:rsidRPr="007A44FA" w:rsidRDefault="00471846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2F6D2F" w:rsidRPr="002F6D2F">
          <w:rPr>
            <w:rFonts w:ascii="Times New Roman" w:hAnsi="Times New Roman" w:cs="Times New Roman"/>
            <w:noProof/>
            <w:sz w:val="24"/>
            <w:lang w:val="ru-RU"/>
          </w:rPr>
          <w:t>28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B52" w:rsidRDefault="00F27B52" w:rsidP="000B6615">
      <w:r>
        <w:separator/>
      </w:r>
    </w:p>
  </w:footnote>
  <w:footnote w:type="continuationSeparator" w:id="0">
    <w:p w:rsidR="00F27B52" w:rsidRDefault="00F27B52" w:rsidP="000B6615">
      <w:r>
        <w:continuationSeparator/>
      </w:r>
    </w:p>
  </w:footnote>
  <w:footnote w:id="1">
    <w:p w:rsidR="00471846" w:rsidRDefault="00471846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2F6D2F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1846"/>
    <w:rsid w:val="00474471"/>
    <w:rsid w:val="00482713"/>
    <w:rsid w:val="00484663"/>
    <w:rsid w:val="0048647A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1063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27B52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D01BB-F0ED-4CC6-95BF-410CEFF6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28</Pages>
  <Words>10880</Words>
  <Characters>62018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Первухина Анастасия Александровна</cp:lastModifiedBy>
  <cp:revision>19</cp:revision>
  <dcterms:created xsi:type="dcterms:W3CDTF">2023-06-27T07:41:00Z</dcterms:created>
  <dcterms:modified xsi:type="dcterms:W3CDTF">2024-11-29T14:35:00Z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