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62B" w:rsidRDefault="00EF0274">
      <w:pPr>
        <w:jc w:val="right"/>
        <w:rPr>
          <w:b/>
          <w:color w:val="000000"/>
        </w:rPr>
      </w:pPr>
      <w:r>
        <w:rPr>
          <w:b/>
          <w:color w:val="000000"/>
        </w:rPr>
        <w:t xml:space="preserve">Приложение № </w:t>
      </w:r>
      <w:r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.1 "/>
            </w:textInput>
          </w:ffData>
        </w:fldChar>
      </w:r>
      <w:r>
        <w:rPr>
          <w:b/>
          <w:color w:val="000000"/>
          <w:sz w:val="22"/>
          <w:szCs w:val="22"/>
        </w:rPr>
        <w:instrText xml:space="preserve"> FORMTEXT </w:instrText>
      </w: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  <w:fldChar w:fldCharType="separate"/>
      </w:r>
      <w:r>
        <w:rPr>
          <w:b/>
          <w:noProof/>
          <w:color w:val="000000"/>
          <w:sz w:val="22"/>
          <w:szCs w:val="22"/>
        </w:rPr>
        <w:t xml:space="preserve">6.1 </w:t>
      </w:r>
      <w:r>
        <w:rPr>
          <w:b/>
          <w:color w:val="000000"/>
          <w:sz w:val="22"/>
          <w:szCs w:val="22"/>
        </w:rPr>
        <w:fldChar w:fldCharType="end"/>
      </w:r>
      <w:r>
        <w:rPr>
          <w:b/>
          <w:color w:val="000000"/>
        </w:rPr>
        <w:t xml:space="preserve"> </w:t>
      </w:r>
    </w:p>
    <w:p w:rsidR="0066562B" w:rsidRDefault="00EF0274">
      <w:pPr>
        <w:jc w:val="right"/>
        <w:rPr>
          <w:color w:val="000000"/>
        </w:rPr>
      </w:pPr>
      <w:r>
        <w:rPr>
          <w:b/>
          <w:color w:val="000000"/>
        </w:rPr>
        <w:t xml:space="preserve">к Договору № </w:t>
      </w:r>
      <w:r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color w:val="000000"/>
          <w:sz w:val="22"/>
          <w:szCs w:val="22"/>
        </w:rPr>
        <w:instrText xml:space="preserve"> FORMTEXT </w:instrText>
      </w: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  <w:fldChar w:fldCharType="separate"/>
      </w:r>
      <w:r w:rsidR="000F69E6">
        <w:rPr>
          <w:b/>
          <w:color w:val="000000"/>
          <w:sz w:val="22"/>
          <w:szCs w:val="22"/>
        </w:rPr>
        <w:t> </w:t>
      </w:r>
      <w:r w:rsidR="000F69E6">
        <w:rPr>
          <w:b/>
          <w:color w:val="000000"/>
          <w:sz w:val="22"/>
          <w:szCs w:val="22"/>
        </w:rPr>
        <w:t> </w:t>
      </w:r>
      <w:r w:rsidR="000F69E6">
        <w:rPr>
          <w:b/>
          <w:color w:val="000000"/>
          <w:sz w:val="22"/>
          <w:szCs w:val="22"/>
        </w:rPr>
        <w:t> </w:t>
      </w:r>
      <w:r w:rsidR="000F69E6">
        <w:rPr>
          <w:b/>
          <w:color w:val="000000"/>
          <w:sz w:val="22"/>
          <w:szCs w:val="22"/>
        </w:rPr>
        <w:t> </w:t>
      </w:r>
      <w:r w:rsidR="000F69E6">
        <w:rPr>
          <w:b/>
          <w:color w:val="000000"/>
          <w:sz w:val="22"/>
          <w:szCs w:val="22"/>
        </w:rPr>
        <w:t> </w:t>
      </w:r>
      <w:r>
        <w:rPr>
          <w:b/>
          <w:color w:val="000000"/>
          <w:sz w:val="22"/>
          <w:szCs w:val="22"/>
        </w:rPr>
        <w:fldChar w:fldCharType="end"/>
      </w:r>
      <w:r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</w:rPr>
        <w:t xml:space="preserve">от </w:t>
      </w:r>
      <w:r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color w:val="000000"/>
          <w:sz w:val="22"/>
          <w:szCs w:val="22"/>
        </w:rPr>
        <w:instrText xml:space="preserve"> FORMTEXT </w:instrText>
      </w: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  <w:fldChar w:fldCharType="separate"/>
      </w:r>
      <w:r w:rsidR="00675EB2">
        <w:rPr>
          <w:b/>
          <w:color w:val="000000"/>
          <w:sz w:val="22"/>
          <w:szCs w:val="22"/>
        </w:rPr>
        <w:t>.</w:t>
      </w:r>
      <w:r>
        <w:rPr>
          <w:b/>
          <w:color w:val="000000"/>
          <w:sz w:val="22"/>
          <w:szCs w:val="22"/>
        </w:rPr>
        <w:t>202</w:t>
      </w:r>
      <w:r w:rsidR="0078454C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>г</w:t>
      </w:r>
      <w:r>
        <w:rPr>
          <w:b/>
          <w:color w:val="000000"/>
          <w:sz w:val="22"/>
          <w:szCs w:val="22"/>
        </w:rPr>
        <w:fldChar w:fldCharType="end"/>
      </w:r>
      <w:r>
        <w:rPr>
          <w:color w:val="000000"/>
        </w:rPr>
        <w:t xml:space="preserve"> </w:t>
      </w:r>
    </w:p>
    <w:p w:rsidR="0066562B" w:rsidRDefault="0066562B">
      <w:pPr>
        <w:rPr>
          <w:spacing w:val="-2"/>
        </w:rPr>
      </w:pPr>
    </w:p>
    <w:p w:rsidR="0066562B" w:rsidRDefault="00EF0274">
      <w:pPr>
        <w:rPr>
          <w:sz w:val="22"/>
          <w:szCs w:val="22"/>
        </w:rPr>
      </w:pPr>
      <w:r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color w:val="000000"/>
          <w:sz w:val="22"/>
          <w:szCs w:val="22"/>
        </w:rPr>
        <w:instrText xml:space="preserve"> FORMTEXT </w:instrText>
      </w: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  <w:fldChar w:fldCharType="separate"/>
      </w:r>
      <w:r w:rsidRPr="00EF0274">
        <w:rPr>
          <w:b/>
          <w:color w:val="000000"/>
          <w:sz w:val="22"/>
          <w:szCs w:val="22"/>
        </w:rPr>
        <w:t>Общество с ограниченной ответственностью "РН-Транспорт" (ООО "РН-Транспорт"</w:t>
      </w:r>
      <w:r>
        <w:rPr>
          <w:b/>
          <w:color w:val="000000"/>
          <w:sz w:val="22"/>
          <w:szCs w:val="22"/>
        </w:rPr>
        <w:t>)</w:t>
      </w:r>
      <w:r>
        <w:rPr>
          <w:b/>
          <w:color w:val="000000"/>
          <w:sz w:val="22"/>
          <w:szCs w:val="22"/>
        </w:rPr>
        <w:fldChar w:fldCharType="end"/>
      </w:r>
      <w:r>
        <w:rPr>
          <w:sz w:val="22"/>
          <w:szCs w:val="22"/>
        </w:rPr>
        <w:t>,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именуемое в дальнейшем ЗАКАЗЧИК</w:t>
      </w:r>
      <w:r>
        <w:rPr>
          <w:b/>
          <w:bCs/>
          <w:sz w:val="22"/>
          <w:szCs w:val="22"/>
        </w:rPr>
        <w:t>,</w:t>
      </w:r>
      <w:r>
        <w:rPr>
          <w:sz w:val="22"/>
          <w:szCs w:val="22"/>
        </w:rPr>
        <w:t xml:space="preserve"> в лице </w:t>
      </w:r>
      <w:r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color w:val="000000"/>
          <w:sz w:val="22"/>
          <w:szCs w:val="22"/>
        </w:rPr>
        <w:instrText xml:space="preserve"> FORMTEXT </w:instrText>
      </w: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  <w:fldChar w:fldCharType="separate"/>
      </w:r>
      <w:r w:rsidR="000F69E6">
        <w:rPr>
          <w:b/>
          <w:color w:val="000000"/>
          <w:sz w:val="22"/>
          <w:szCs w:val="22"/>
        </w:rPr>
        <w:t>Д</w:t>
      </w:r>
      <w:r w:rsidR="00675EB2" w:rsidRPr="00675EB2">
        <w:rPr>
          <w:b/>
          <w:color w:val="000000"/>
          <w:sz w:val="22"/>
          <w:szCs w:val="22"/>
        </w:rPr>
        <w:t xml:space="preserve">иректора филиала ООО "РН-Транспорт" в г. Стрежевой </w:t>
      </w:r>
      <w:r w:rsidR="004304E9" w:rsidRPr="004304E9">
        <w:rPr>
          <w:b/>
          <w:color w:val="000000"/>
          <w:sz w:val="22"/>
          <w:szCs w:val="22"/>
        </w:rPr>
        <w:t xml:space="preserve"> Валиулин</w:t>
      </w:r>
      <w:r w:rsidR="004304E9">
        <w:rPr>
          <w:b/>
          <w:color w:val="000000"/>
          <w:sz w:val="22"/>
          <w:szCs w:val="22"/>
        </w:rPr>
        <w:t>а Алексея Исмагиловича</w:t>
      </w:r>
      <w:r>
        <w:rPr>
          <w:b/>
          <w:color w:val="000000"/>
          <w:sz w:val="22"/>
          <w:szCs w:val="22"/>
        </w:rPr>
        <w:fldChar w:fldCharType="end"/>
      </w:r>
      <w:r>
        <w:rPr>
          <w:sz w:val="22"/>
          <w:szCs w:val="22"/>
        </w:rPr>
        <w:t xml:space="preserve">, действующего на основании </w:t>
      </w:r>
      <w:r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color w:val="000000"/>
          <w:sz w:val="22"/>
          <w:szCs w:val="22"/>
        </w:rPr>
        <w:instrText xml:space="preserve"> FORMTEXT </w:instrText>
      </w: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  <w:fldChar w:fldCharType="separate"/>
      </w:r>
      <w:r w:rsidR="00675EB2" w:rsidRPr="00675EB2">
        <w:rPr>
          <w:b/>
          <w:color w:val="000000"/>
          <w:sz w:val="22"/>
          <w:szCs w:val="22"/>
        </w:rPr>
        <w:t>Доверенности № РНТ/</w:t>
      </w:r>
      <w:r w:rsidR="0078454C">
        <w:rPr>
          <w:b/>
          <w:color w:val="000000"/>
          <w:sz w:val="22"/>
          <w:szCs w:val="22"/>
        </w:rPr>
        <w:t>87</w:t>
      </w:r>
      <w:r w:rsidR="006702B5">
        <w:rPr>
          <w:b/>
          <w:color w:val="000000"/>
          <w:sz w:val="22"/>
          <w:szCs w:val="22"/>
        </w:rPr>
        <w:t>5</w:t>
      </w:r>
      <w:r w:rsidR="00675EB2" w:rsidRPr="00675EB2">
        <w:rPr>
          <w:b/>
          <w:color w:val="000000"/>
          <w:sz w:val="22"/>
          <w:szCs w:val="22"/>
        </w:rPr>
        <w:t>/2</w:t>
      </w:r>
      <w:r w:rsidR="004304E9">
        <w:rPr>
          <w:b/>
          <w:color w:val="000000"/>
          <w:sz w:val="22"/>
          <w:szCs w:val="22"/>
        </w:rPr>
        <w:t>4</w:t>
      </w:r>
      <w:r w:rsidR="00675EB2" w:rsidRPr="00675EB2">
        <w:rPr>
          <w:b/>
          <w:color w:val="000000"/>
          <w:sz w:val="22"/>
          <w:szCs w:val="22"/>
        </w:rPr>
        <w:t xml:space="preserve"> от </w:t>
      </w:r>
      <w:r w:rsidR="0078454C">
        <w:rPr>
          <w:b/>
          <w:color w:val="000000"/>
          <w:sz w:val="22"/>
          <w:szCs w:val="22"/>
        </w:rPr>
        <w:t>23</w:t>
      </w:r>
      <w:r w:rsidR="00675EB2" w:rsidRPr="00675EB2">
        <w:rPr>
          <w:b/>
          <w:color w:val="000000"/>
          <w:sz w:val="22"/>
          <w:szCs w:val="22"/>
        </w:rPr>
        <w:t>.</w:t>
      </w:r>
      <w:r w:rsidR="000F69E6">
        <w:rPr>
          <w:b/>
          <w:color w:val="000000"/>
          <w:sz w:val="22"/>
          <w:szCs w:val="22"/>
        </w:rPr>
        <w:t>1</w:t>
      </w:r>
      <w:r w:rsidR="004304E9">
        <w:rPr>
          <w:b/>
          <w:color w:val="000000"/>
          <w:sz w:val="22"/>
          <w:szCs w:val="22"/>
        </w:rPr>
        <w:t>2</w:t>
      </w:r>
      <w:r w:rsidR="00675EB2" w:rsidRPr="00675EB2">
        <w:rPr>
          <w:b/>
          <w:color w:val="000000"/>
          <w:sz w:val="22"/>
          <w:szCs w:val="22"/>
        </w:rPr>
        <w:t>.202</w:t>
      </w:r>
      <w:r w:rsidR="0078454C">
        <w:rPr>
          <w:b/>
          <w:color w:val="000000"/>
          <w:sz w:val="22"/>
          <w:szCs w:val="22"/>
        </w:rPr>
        <w:t>4</w:t>
      </w:r>
      <w:bookmarkStart w:id="0" w:name="_GoBack"/>
      <w:bookmarkEnd w:id="0"/>
      <w:r w:rsidR="00675EB2" w:rsidRPr="00675EB2">
        <w:rPr>
          <w:b/>
          <w:color w:val="000000"/>
          <w:sz w:val="22"/>
          <w:szCs w:val="22"/>
        </w:rPr>
        <w:t xml:space="preserve"> г.</w:t>
      </w:r>
      <w:r>
        <w:rPr>
          <w:b/>
          <w:color w:val="000000"/>
          <w:sz w:val="22"/>
          <w:szCs w:val="22"/>
        </w:rPr>
        <w:fldChar w:fldCharType="end"/>
      </w:r>
      <w:r>
        <w:rPr>
          <w:sz w:val="22"/>
          <w:szCs w:val="22"/>
        </w:rPr>
        <w:t xml:space="preserve">, с одной стороны, и </w:t>
      </w:r>
      <w:r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color w:val="000000"/>
          <w:sz w:val="22"/>
          <w:szCs w:val="22"/>
        </w:rPr>
        <w:instrText xml:space="preserve"> FORMTEXT </w:instrText>
      </w: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  <w:fldChar w:fldCharType="separate"/>
      </w:r>
      <w:r>
        <w:rPr>
          <w:b/>
          <w:color w:val="000000"/>
          <w:sz w:val="22"/>
          <w:szCs w:val="22"/>
        </w:rPr>
        <w:t xml:space="preserve"> </w:t>
      </w:r>
      <w:r w:rsidR="000F69E6">
        <w:rPr>
          <w:b/>
          <w:color w:val="000000"/>
          <w:sz w:val="22"/>
          <w:szCs w:val="22"/>
        </w:rPr>
        <w:t xml:space="preserve">         </w:t>
      </w:r>
      <w:r>
        <w:rPr>
          <w:b/>
          <w:color w:val="000000"/>
          <w:sz w:val="22"/>
          <w:szCs w:val="22"/>
        </w:rPr>
        <w:fldChar w:fldCharType="end"/>
      </w:r>
      <w:r>
        <w:rPr>
          <w:sz w:val="22"/>
          <w:szCs w:val="22"/>
        </w:rPr>
        <w:t xml:space="preserve">, именуемое в дальнейшем ИСПОЛНИТЕЛЬ, в лице </w:t>
      </w:r>
      <w:r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color w:val="000000"/>
          <w:sz w:val="22"/>
          <w:szCs w:val="22"/>
        </w:rPr>
        <w:instrText xml:space="preserve"> FORMTEXT </w:instrText>
      </w: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  <w:fldChar w:fldCharType="separate"/>
      </w:r>
      <w:r>
        <w:rPr>
          <w:b/>
          <w:color w:val="000000"/>
          <w:sz w:val="22"/>
          <w:szCs w:val="22"/>
        </w:rPr>
        <w:t xml:space="preserve"> </w:t>
      </w:r>
      <w:r w:rsidR="000F69E6">
        <w:rPr>
          <w:b/>
          <w:color w:val="000000"/>
          <w:sz w:val="22"/>
          <w:szCs w:val="22"/>
        </w:rPr>
        <w:t xml:space="preserve">                   </w:t>
      </w:r>
      <w:r>
        <w:rPr>
          <w:b/>
          <w:color w:val="000000"/>
          <w:sz w:val="22"/>
          <w:szCs w:val="22"/>
        </w:rPr>
        <w:fldChar w:fldCharType="end"/>
      </w:r>
      <w:r>
        <w:rPr>
          <w:sz w:val="22"/>
          <w:szCs w:val="22"/>
        </w:rPr>
        <w:t xml:space="preserve">, действующего на основании </w:t>
      </w:r>
      <w:r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color w:val="000000"/>
          <w:sz w:val="22"/>
          <w:szCs w:val="22"/>
        </w:rPr>
        <w:instrText xml:space="preserve"> FORMTEXT </w:instrText>
      </w: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  <w:fldChar w:fldCharType="separate"/>
      </w:r>
      <w:r w:rsidR="00810CEB">
        <w:rPr>
          <w:b/>
          <w:color w:val="000000"/>
          <w:sz w:val="22"/>
          <w:szCs w:val="22"/>
        </w:rPr>
        <w:t>Устава</w:t>
      </w:r>
      <w:r>
        <w:rPr>
          <w:b/>
          <w:color w:val="000000"/>
          <w:sz w:val="22"/>
          <w:szCs w:val="22"/>
        </w:rPr>
        <w:fldChar w:fldCharType="end"/>
      </w:r>
      <w:r>
        <w:rPr>
          <w:sz w:val="22"/>
          <w:szCs w:val="22"/>
        </w:rPr>
        <w:t xml:space="preserve">, с другой стороны, вместе и по </w:t>
      </w:r>
      <w:proofErr w:type="gramStart"/>
      <w:r>
        <w:rPr>
          <w:sz w:val="22"/>
          <w:szCs w:val="22"/>
        </w:rPr>
        <w:t>отдельности</w:t>
      </w:r>
      <w:proofErr w:type="gramEnd"/>
      <w:r>
        <w:rPr>
          <w:sz w:val="22"/>
          <w:szCs w:val="22"/>
        </w:rPr>
        <w:t xml:space="preserve"> именуемые в дальнейшем соответственно «Стороны» и «Сторона», заключили настоящее Приложение к ДОГОВОРУ № </w:t>
      </w:r>
      <w:r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color w:val="000000"/>
          <w:sz w:val="22"/>
          <w:szCs w:val="22"/>
        </w:rPr>
        <w:instrText xml:space="preserve"> FORMTEXT </w:instrText>
      </w: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  <w:fldChar w:fldCharType="separate"/>
      </w:r>
      <w:r>
        <w:rPr>
          <w:b/>
          <w:color w:val="000000"/>
          <w:sz w:val="22"/>
          <w:szCs w:val="22"/>
        </w:rPr>
        <w:t xml:space="preserve"> </w:t>
      </w:r>
      <w:r w:rsidR="000F69E6">
        <w:rPr>
          <w:b/>
          <w:color w:val="000000"/>
          <w:sz w:val="22"/>
          <w:szCs w:val="22"/>
        </w:rPr>
        <w:t xml:space="preserve">                   </w:t>
      </w:r>
      <w:r>
        <w:rPr>
          <w:b/>
          <w:color w:val="000000"/>
          <w:sz w:val="22"/>
          <w:szCs w:val="22"/>
        </w:rPr>
        <w:fldChar w:fldCharType="end"/>
      </w:r>
      <w:r>
        <w:rPr>
          <w:sz w:val="22"/>
          <w:szCs w:val="22"/>
        </w:rPr>
        <w:t xml:space="preserve">  от </w:t>
      </w:r>
      <w:r>
        <w:rPr>
          <w:sz w:val="22"/>
          <w:szCs w:val="22"/>
        </w:rPr>
        <w:fldChar w:fldCharType="begin">
          <w:ffData>
            <w:name w:val="ТекстовоеПоле448"/>
            <w:enabled/>
            <w:calcOnExit w:val="0"/>
            <w:textInput/>
          </w:ffData>
        </w:fldChar>
      </w:r>
      <w:bookmarkStart w:id="1" w:name="ТекстовоеПоле448"/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="000F69E6">
        <w:rPr>
          <w:sz w:val="22"/>
          <w:szCs w:val="22"/>
        </w:rPr>
        <w:t xml:space="preserve">           </w:t>
      </w:r>
      <w:r w:rsidR="00810CEB" w:rsidRPr="00810CEB">
        <w:rPr>
          <w:sz w:val="22"/>
          <w:szCs w:val="22"/>
        </w:rPr>
        <w:t>г</w:t>
      </w:r>
      <w:r w:rsidR="00675EB2">
        <w:rPr>
          <w:sz w:val="22"/>
          <w:szCs w:val="22"/>
        </w:rPr>
        <w:t>.</w:t>
      </w:r>
      <w:r>
        <w:rPr>
          <w:sz w:val="22"/>
          <w:szCs w:val="22"/>
        </w:rPr>
        <w:fldChar w:fldCharType="end"/>
      </w:r>
      <w:bookmarkEnd w:id="1"/>
      <w:r>
        <w:rPr>
          <w:sz w:val="22"/>
          <w:szCs w:val="22"/>
        </w:rPr>
        <w:t xml:space="preserve"> о нижеследующем:</w:t>
      </w:r>
    </w:p>
    <w:p w:rsidR="0066562B" w:rsidRDefault="0066562B">
      <w:pPr>
        <w:spacing w:after="120"/>
        <w:rPr>
          <w:b/>
          <w:caps/>
          <w:sz w:val="22"/>
          <w:szCs w:val="22"/>
        </w:rPr>
      </w:pPr>
    </w:p>
    <w:p w:rsidR="0066562B" w:rsidRDefault="00EF0274">
      <w:pPr>
        <w:spacing w:after="120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 xml:space="preserve">штрафы </w:t>
      </w:r>
      <w:r>
        <w:rPr>
          <w:b/>
          <w:caps/>
          <w:sz w:val="24"/>
          <w:szCs w:val="24"/>
        </w:rPr>
        <w:t>за НАРУШЕНИЯ В ОБЛАСТИ ПБОТОС</w:t>
      </w:r>
    </w:p>
    <w:p w:rsidR="0066562B" w:rsidRDefault="00EF0274">
      <w:pPr>
        <w:spacing w:after="120"/>
        <w:rPr>
          <w:b/>
          <w:caps/>
          <w:sz w:val="22"/>
          <w:szCs w:val="22"/>
        </w:rPr>
      </w:pPr>
      <w:r>
        <w:rPr>
          <w:sz w:val="22"/>
          <w:szCs w:val="22"/>
        </w:rPr>
        <w:t xml:space="preserve">Нижеуказанные штрафы применяются в случае нарушений, допущенных </w:t>
      </w:r>
      <w:r>
        <w:rPr>
          <w:caps/>
          <w:sz w:val="22"/>
          <w:szCs w:val="22"/>
        </w:rPr>
        <w:t>исполнителем, Субисполнителе</w:t>
      </w:r>
      <w:proofErr w:type="gramStart"/>
      <w:r>
        <w:rPr>
          <w:caps/>
          <w:sz w:val="22"/>
          <w:szCs w:val="22"/>
        </w:rPr>
        <w:t>м(</w:t>
      </w:r>
      <w:proofErr w:type="gramEnd"/>
      <w:r>
        <w:rPr>
          <w:caps/>
          <w:sz w:val="22"/>
          <w:szCs w:val="22"/>
        </w:rPr>
        <w:t>ями), Третьими Лицами,</w:t>
      </w:r>
      <w:r>
        <w:rPr>
          <w:sz w:val="22"/>
          <w:szCs w:val="22"/>
        </w:rPr>
        <w:t xml:space="preserve"> привлеченными </w:t>
      </w:r>
      <w:r>
        <w:rPr>
          <w:caps/>
          <w:sz w:val="22"/>
          <w:szCs w:val="22"/>
        </w:rPr>
        <w:t>исполнителем</w:t>
      </w:r>
      <w:r>
        <w:rPr>
          <w:sz w:val="22"/>
          <w:szCs w:val="22"/>
        </w:rPr>
        <w:t xml:space="preserve"> для оказания УСЛУГ.</w:t>
      </w:r>
    </w:p>
    <w:p w:rsidR="0066562B" w:rsidRDefault="0066562B">
      <w:pPr>
        <w:rPr>
          <w:sz w:val="22"/>
          <w:szCs w:val="22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4288"/>
        <w:gridCol w:w="726"/>
        <w:gridCol w:w="745"/>
        <w:gridCol w:w="732"/>
        <w:gridCol w:w="965"/>
        <w:gridCol w:w="895"/>
        <w:gridCol w:w="948"/>
      </w:tblGrid>
      <w:tr w:rsidR="0066562B">
        <w:trPr>
          <w:trHeight w:val="495"/>
        </w:trPr>
        <w:tc>
          <w:tcPr>
            <w:tcW w:w="624" w:type="dxa"/>
            <w:vMerge w:val="restart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п.п.</w:t>
            </w:r>
          </w:p>
        </w:tc>
        <w:tc>
          <w:tcPr>
            <w:tcW w:w="4288" w:type="dxa"/>
            <w:vMerge w:val="restart"/>
            <w:shd w:val="clear" w:color="auto" w:fill="auto"/>
            <w:hideMark/>
          </w:tcPr>
          <w:p w:rsidR="0066562B" w:rsidRDefault="0066562B">
            <w:pPr>
              <w:jc w:val="center"/>
              <w:rPr>
                <w:sz w:val="22"/>
                <w:szCs w:val="22"/>
              </w:rPr>
            </w:pPr>
          </w:p>
          <w:p w:rsidR="0066562B" w:rsidRDefault="00EF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66562B" w:rsidRDefault="00EF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договора с учетом НДС, тыс. руб.</w:t>
            </w:r>
          </w:p>
        </w:tc>
      </w:tr>
      <w:tr w:rsidR="0066562B">
        <w:trPr>
          <w:trHeight w:val="705"/>
        </w:trPr>
        <w:tc>
          <w:tcPr>
            <w:tcW w:w="624" w:type="dxa"/>
            <w:vMerge/>
            <w:shd w:val="clear" w:color="auto" w:fill="auto"/>
            <w:hideMark/>
          </w:tcPr>
          <w:p w:rsidR="0066562B" w:rsidRDefault="0066562B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vMerge/>
            <w:shd w:val="clear" w:color="auto" w:fill="auto"/>
            <w:hideMark/>
          </w:tcPr>
          <w:p w:rsidR="0066562B" w:rsidRDefault="0066562B">
            <w:pPr>
              <w:rPr>
                <w:sz w:val="22"/>
                <w:szCs w:val="22"/>
              </w:rPr>
            </w:pP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≤100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100 -500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500 -2 000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2 000 - 20 000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20 000- 50 000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&gt;50 000</w:t>
            </w:r>
          </w:p>
        </w:tc>
      </w:tr>
      <w:tr w:rsidR="0066562B">
        <w:trPr>
          <w:trHeight w:val="533"/>
        </w:trPr>
        <w:tc>
          <w:tcPr>
            <w:tcW w:w="624" w:type="dxa"/>
            <w:vMerge/>
            <w:shd w:val="clear" w:color="auto" w:fill="auto"/>
            <w:hideMark/>
          </w:tcPr>
          <w:p w:rsidR="0066562B" w:rsidRDefault="0066562B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vMerge/>
            <w:shd w:val="clear" w:color="auto" w:fill="auto"/>
            <w:hideMark/>
          </w:tcPr>
          <w:p w:rsidR="0066562B" w:rsidRDefault="0066562B">
            <w:pPr>
              <w:rPr>
                <w:sz w:val="22"/>
                <w:szCs w:val="22"/>
              </w:rPr>
            </w:pP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66562B" w:rsidRDefault="00EF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штрафа, взыскиваемого за каждое выявленное  нарушение (тыс. руб.)</w:t>
            </w:r>
          </w:p>
        </w:tc>
      </w:tr>
      <w:tr w:rsidR="0066562B">
        <w:trPr>
          <w:trHeight w:val="315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66562B">
        <w:trPr>
          <w:trHeight w:val="1350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требований нормативных актов в области промышленной безопасности, охраны труда, охраны окружающей среды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66562B">
        <w:trPr>
          <w:trHeight w:val="915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Несоблюдение требований пожарной безопасности (за исключением нарушений, предусмотренных п.п. 3 и 4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66562B">
        <w:trPr>
          <w:trHeight w:val="1155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требований промышленной и/или пожарной безопасности, повлекшее возникновение аварии и/или пожара/загорания и/или уничтожение или повреждение имущества Заказчика (независимо от титула владения)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 w:rsidR="0066562B">
        <w:trPr>
          <w:trHeight w:val="900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Нарушение требований промышленной и/или пожарной безопасности, повлекшее возникновение аварии и/или пожара и причинение тяжкого вреда здоровью или смерть человека 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</w:tr>
      <w:tr w:rsidR="0066562B">
        <w:trPr>
          <w:trHeight w:val="556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Неисполнение в установленный срок предписаний федерального надзорного органа и/или Заказчика в области промышленной и пожарной безопасности, охраны труда и окружающей среды, в том числе  мероприятий, разработанных по результатам расследования происшествий (включая указанные в информационных листках «Молния», «Уроки, извлеченные из происшествий».</w:t>
            </w:r>
            <w:proofErr w:type="gramEnd"/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6562B">
        <w:trPr>
          <w:trHeight w:val="829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Сокрытие информации об авариях/пожарах/инцидентах/несчастных случаях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0"/>
                  </w:textInput>
                </w:ffData>
              </w:fldChar>
            </w:r>
            <w:r>
              <w:rPr>
                <w:rFonts w:eastAsia="MS Mincho"/>
                <w:sz w:val="22"/>
                <w:szCs w:val="22"/>
              </w:rPr>
              <w:instrText xml:space="preserve"> FORMTEXT </w:instrText>
            </w:r>
            <w:r>
              <w:rPr>
                <w:rFonts w:eastAsia="MS Mincho"/>
                <w:sz w:val="22"/>
                <w:szCs w:val="22"/>
              </w:rPr>
            </w:r>
            <w:r>
              <w:rPr>
                <w:rFonts w:eastAsia="MS Mincho"/>
                <w:sz w:val="22"/>
                <w:szCs w:val="22"/>
              </w:rPr>
              <w:fldChar w:fldCharType="separate"/>
            </w:r>
            <w:r>
              <w:rPr>
                <w:rFonts w:eastAsia="MS Mincho"/>
                <w:noProof/>
                <w:sz w:val="22"/>
                <w:szCs w:val="22"/>
              </w:rPr>
              <w:t>50</w:t>
            </w:r>
            <w:r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00"/>
                  </w:textInput>
                </w:ffData>
              </w:fldChar>
            </w:r>
            <w:r>
              <w:rPr>
                <w:rFonts w:eastAsia="MS Mincho"/>
                <w:sz w:val="22"/>
                <w:szCs w:val="22"/>
              </w:rPr>
              <w:instrText xml:space="preserve"> FORMTEXT </w:instrText>
            </w:r>
            <w:r>
              <w:rPr>
                <w:rFonts w:eastAsia="MS Mincho"/>
                <w:sz w:val="22"/>
                <w:szCs w:val="22"/>
              </w:rPr>
            </w:r>
            <w:r>
              <w:rPr>
                <w:rFonts w:eastAsia="MS Mincho"/>
                <w:sz w:val="22"/>
                <w:szCs w:val="22"/>
              </w:rPr>
              <w:fldChar w:fldCharType="separate"/>
            </w:r>
            <w:r>
              <w:rPr>
                <w:rFonts w:eastAsia="MS Mincho"/>
                <w:noProof/>
                <w:sz w:val="22"/>
                <w:szCs w:val="22"/>
              </w:rPr>
              <w:t>100</w:t>
            </w:r>
            <w:r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0"/>
                  </w:textInput>
                </w:ffData>
              </w:fldChar>
            </w:r>
            <w:r>
              <w:rPr>
                <w:rFonts w:eastAsia="MS Mincho"/>
                <w:sz w:val="22"/>
                <w:szCs w:val="22"/>
              </w:rPr>
              <w:instrText xml:space="preserve"> FORMTEXT </w:instrText>
            </w:r>
            <w:r>
              <w:rPr>
                <w:rFonts w:eastAsia="MS Mincho"/>
                <w:sz w:val="22"/>
                <w:szCs w:val="22"/>
              </w:rPr>
            </w:r>
            <w:r>
              <w:rPr>
                <w:rFonts w:eastAsia="MS Mincho"/>
                <w:sz w:val="22"/>
                <w:szCs w:val="22"/>
              </w:rPr>
              <w:fldChar w:fldCharType="separate"/>
            </w:r>
            <w:r>
              <w:rPr>
                <w:rFonts w:eastAsia="MS Mincho"/>
                <w:noProof/>
                <w:sz w:val="22"/>
                <w:szCs w:val="22"/>
              </w:rPr>
              <w:t>300</w:t>
            </w:r>
            <w:r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00"/>
                  </w:textInput>
                </w:ffData>
              </w:fldChar>
            </w:r>
            <w:r>
              <w:rPr>
                <w:rFonts w:eastAsia="MS Mincho"/>
                <w:sz w:val="22"/>
                <w:szCs w:val="22"/>
              </w:rPr>
              <w:instrText xml:space="preserve"> FORMTEXT </w:instrText>
            </w:r>
            <w:r>
              <w:rPr>
                <w:rFonts w:eastAsia="MS Mincho"/>
                <w:sz w:val="22"/>
                <w:szCs w:val="22"/>
              </w:rPr>
            </w:r>
            <w:r>
              <w:rPr>
                <w:rFonts w:eastAsia="MS Mincho"/>
                <w:sz w:val="22"/>
                <w:szCs w:val="22"/>
              </w:rPr>
              <w:fldChar w:fldCharType="separate"/>
            </w:r>
            <w:r>
              <w:rPr>
                <w:rFonts w:eastAsia="MS Mincho"/>
                <w:noProof/>
                <w:sz w:val="22"/>
                <w:szCs w:val="22"/>
              </w:rPr>
              <w:t>500</w:t>
            </w:r>
            <w:r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50"/>
                  </w:textInput>
                </w:ffData>
              </w:fldChar>
            </w:r>
            <w:r>
              <w:rPr>
                <w:rFonts w:eastAsia="MS Mincho"/>
                <w:sz w:val="22"/>
                <w:szCs w:val="22"/>
              </w:rPr>
              <w:instrText xml:space="preserve"> FORMTEXT </w:instrText>
            </w:r>
            <w:r>
              <w:rPr>
                <w:rFonts w:eastAsia="MS Mincho"/>
                <w:sz w:val="22"/>
                <w:szCs w:val="22"/>
              </w:rPr>
            </w:r>
            <w:r>
              <w:rPr>
                <w:rFonts w:eastAsia="MS Mincho"/>
                <w:sz w:val="22"/>
                <w:szCs w:val="22"/>
              </w:rPr>
              <w:fldChar w:fldCharType="separate"/>
            </w:r>
            <w:r>
              <w:rPr>
                <w:rFonts w:eastAsia="MS Mincho"/>
                <w:noProof/>
                <w:sz w:val="22"/>
                <w:szCs w:val="22"/>
              </w:rPr>
              <w:t>750</w:t>
            </w:r>
            <w:r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250"/>
                  </w:textInput>
                </w:ffData>
              </w:fldChar>
            </w:r>
            <w:r>
              <w:rPr>
                <w:rFonts w:eastAsia="MS Mincho"/>
                <w:sz w:val="22"/>
                <w:szCs w:val="22"/>
              </w:rPr>
              <w:instrText xml:space="preserve"> FORMTEXT </w:instrText>
            </w:r>
            <w:r>
              <w:rPr>
                <w:rFonts w:eastAsia="MS Mincho"/>
                <w:sz w:val="22"/>
                <w:szCs w:val="22"/>
              </w:rPr>
            </w:r>
            <w:r>
              <w:rPr>
                <w:rFonts w:eastAsia="MS Mincho"/>
                <w:sz w:val="22"/>
                <w:szCs w:val="22"/>
              </w:rPr>
              <w:fldChar w:fldCharType="separate"/>
            </w:r>
            <w:r>
              <w:rPr>
                <w:rFonts w:eastAsia="MS Mincho"/>
                <w:noProof/>
                <w:sz w:val="22"/>
                <w:szCs w:val="22"/>
              </w:rPr>
              <w:t>1250</w:t>
            </w:r>
            <w:r>
              <w:rPr>
                <w:rFonts w:eastAsia="MS Mincho"/>
                <w:sz w:val="22"/>
                <w:szCs w:val="22"/>
              </w:rPr>
              <w:fldChar w:fldCharType="end"/>
            </w:r>
          </w:p>
        </w:tc>
      </w:tr>
      <w:tr w:rsidR="0066562B">
        <w:trPr>
          <w:trHeight w:val="1125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Уведомление об авариях/пожарах/инцидентах/несчастных случаях с опозданием более чем на 24 часа с момента их обнаружения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</w:tr>
      <w:tr w:rsidR="0066562B">
        <w:trPr>
          <w:trHeight w:val="825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Непредставление, предоставление с просрочкой более 1 суток отчет</w:t>
            </w:r>
            <w:proofErr w:type="gramStart"/>
            <w:r>
              <w:rPr>
                <w:sz w:val="22"/>
                <w:szCs w:val="22"/>
              </w:rPr>
              <w:t>а(</w:t>
            </w:r>
            <w:proofErr w:type="gramEnd"/>
            <w:r>
              <w:rPr>
                <w:sz w:val="22"/>
                <w:szCs w:val="22"/>
              </w:rPr>
              <w:t xml:space="preserve">тов), в области ПБОТОС, предусмотренных Договором 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66562B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Инциденты, аварии на объектах энергохозяйства, приведшие к отключению энергопотребителей/ повреждению энергооборудования, происшедшие по вине Исполнителя (привлеченного им субисполнителя) 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</w:t>
            </w:r>
          </w:p>
        </w:tc>
      </w:tr>
      <w:tr w:rsidR="0066562B">
        <w:trPr>
          <w:trHeight w:val="1335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Инциденты, аварии на объектах энергохозяйства, не приведшие к отключению энергопотребителей, повреждению энергооборудования, происшедшие по вине Исполнителя (привлеченного им субисполнителя) 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</w:tr>
      <w:tr w:rsidR="0066562B">
        <w:trPr>
          <w:trHeight w:val="2235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Механическое повреждение воздушных линий электропередач и/или подземных линий электропередач, происшедшее по вине Исполнителя (привлеченного им субисполнителя) на объектах и лицензионных участках Заказчика. Обрыв воздушных линий электропередач и токопроводов, наезд транспортных средств, специальной и строительной техники на опору ЛЭП.</w:t>
            </w:r>
            <w:r>
              <w:rPr>
                <w:sz w:val="22"/>
                <w:szCs w:val="22"/>
              </w:rPr>
              <w:br/>
              <w:t>Обрыв подземных линий электропередач и токопроводов.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</w:tr>
      <w:tr w:rsidR="0066562B">
        <w:trPr>
          <w:trHeight w:val="2025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Механическое повреждение наземных и/или подземных коммуникаций (в том числе трубопроводов, емкостей), приведшее к их разгерметизации, происшедшее по вине Исполнителя (привлеченного им субисполнителя) на объектах и лицензионных участках Заказчика 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</w:tr>
      <w:tr w:rsidR="0066562B">
        <w:trPr>
          <w:trHeight w:val="1350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Механическое повреждение наземных и/или подземных коммуникаций (в том числе трубопроводов, емкостей), не приведшее к их разгерметизации, происшедшее по вине Исполнителя (привлеченного им субисполнителя) на производственных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 w:rsidR="0066562B">
        <w:trPr>
          <w:trHeight w:val="1125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Выполнение работ Исполнителем (привлеченным им субисполнителем) без оформления разрешительных документов, согласованных Заказчиком (разрешение на производство работ, акт-допуск, наряд-допуск и др.) 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  <w:tr w:rsidR="0066562B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Самовольное возобновление работ, выполнение которых было приостановлено представителем федерального надзорного органа и/или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 w:rsidR="0066562B">
        <w:trPr>
          <w:trHeight w:val="348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требований по организации безопасного проведения работ повышенной опасности (за исключением нарушений, предусмотренных п. 10;11; 12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</w:tr>
      <w:tr w:rsidR="0066562B">
        <w:trPr>
          <w:trHeight w:val="632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Привлечение Исполнителем (привлеченным им субисполнителем)  для выполнения работ работников, не имеющих необходимой  квалификации, аттестации (включая обучение по программам пожарно-технического минимума), не прошедших необходимых инструктажей, не ознакомленных  с инструкциями, содержащими требования охраны труда, промышленной и пожарной безопасности, экологии, технологической дисциплины, не прошедших обязательных медицинских осмотров (предварительных - при поступлении на работу, периодических – в процессе работы, внеочередных - в соответствии с медицинскими рекомендациями обследования</w:t>
            </w:r>
            <w:proofErr w:type="gramEnd"/>
            <w:r>
              <w:rPr>
                <w:sz w:val="22"/>
                <w:szCs w:val="22"/>
              </w:rPr>
              <w:t>), обязательных психиатрических освидетельствований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 w:rsidR="0066562B">
        <w:trPr>
          <w:trHeight w:val="885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Нарушение работником Исполнителя (привлеченного им субисполнителя) Правил дорожного движения, Положения Компании «Система безопасной эксплуатации транспортных средств»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за каждое нарушение</w:t>
            </w:r>
          </w:p>
        </w:tc>
      </w:tr>
      <w:tr w:rsidR="0066562B">
        <w:trPr>
          <w:trHeight w:val="934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ДТП по вине работника Исполнителя (привлеченного им субисполнителя) с наличием пострадавшего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за каждое ДТП</w:t>
            </w:r>
          </w:p>
        </w:tc>
      </w:tr>
      <w:tr w:rsidR="0066562B">
        <w:trPr>
          <w:trHeight w:val="1065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ДТП по вине работника Исполнителя (привлеченного им субисполнителя) с наличием погибшего или нескольких пострадавших с ВПТ (2-х и более)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за каждое ДТП, при повторе в течение 12 месяцев - расторжение договора</w:t>
            </w:r>
          </w:p>
        </w:tc>
      </w:tr>
      <w:tr w:rsidR="0066562B">
        <w:trPr>
          <w:trHeight w:val="339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Сокрытие случая ДТП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 за каждый выявленный случай сокрытия ДТП</w:t>
            </w:r>
          </w:p>
        </w:tc>
      </w:tr>
      <w:tr w:rsidR="0066562B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Уничтожение или повреждение объектов дорожного хозяйства (шлагбаумы, дорожные знаки и т.п.), происшедшее по вине Исполнителя (привлеченного им субисполнителя) 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6562B">
        <w:trPr>
          <w:trHeight w:val="982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Любое виновное действие (включая ДТП), совершенные работником Исполнителя (привлеченного им субисполнителя) в состоянии алкогольного опьянения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 но не более суммы договора</w:t>
            </w:r>
          </w:p>
        </w:tc>
      </w:tr>
      <w:tr w:rsidR="0066562B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Любое виновное действие (включая ДТП), совершенные работником Исполнителя (привлеченного им субисполнителя) повлекшее причинение тяжкого вреда здоровью человека (за каждый факт/за каждого работника)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 но не более суммы договора</w:t>
            </w:r>
          </w:p>
        </w:tc>
      </w:tr>
      <w:tr w:rsidR="0066562B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Любое виновное действие, совершенное работником Исполнителя (привлеченного им субисполнителя), </w:t>
            </w:r>
            <w:proofErr w:type="gramStart"/>
            <w:r>
              <w:rPr>
                <w:sz w:val="22"/>
                <w:szCs w:val="22"/>
              </w:rPr>
              <w:t>повлекшие</w:t>
            </w:r>
            <w:proofErr w:type="gramEnd"/>
            <w:r>
              <w:rPr>
                <w:sz w:val="22"/>
                <w:szCs w:val="22"/>
              </w:rPr>
              <w:t xml:space="preserve"> смерть человека (за каждый факт/за каждого работника)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 но не более суммы договора</w:t>
            </w:r>
          </w:p>
        </w:tc>
      </w:tr>
      <w:tr w:rsidR="0066562B">
        <w:trPr>
          <w:trHeight w:val="4200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Выполнение работ с грубыми нарушениями требований нормативных актов, запрещающих их выполнение (например: проведение спускоподъемных операций с неисправным индикатором веса; проведение спускоподъемных операций с неисправным ограничителем высоты подъема талевого блока; отсутствие согласования с организацией эксплуатирующей ЛЭП; отсутствие или неисправность ограничителя рабочих движений для автоматического отключения механизмов подъема, поворота и выдвижения стрелы на безопасном расстоянии от крана до проводов ЛЭП;</w:t>
            </w:r>
            <w:proofErr w:type="gramEnd"/>
            <w:r>
              <w:rPr>
                <w:sz w:val="22"/>
                <w:szCs w:val="22"/>
              </w:rPr>
              <w:t xml:space="preserve"> неисправные грузозахватные приспособления и другие), за исключением нарушений, предусмотренных п.п. 11; 12 и 14 настоящего Перечня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</w:tr>
      <w:tr w:rsidR="0066562B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Исполнителем (привлеченным им субисполнителем) требований природоохранного законодательства, в том числе законодательства об охране окружающей среды, об охране атмосферного воздуха, земельного, лесного, водного законодательства, законодательства о недрах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6562B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Разлив нефти, нефтепродуктов, подтоварной воды, скважинных жидкостей, кислоты, иных опасных веществ в пределах и/или за пределами промплощадки и/или места ведения работ, а также непринятие мер по немедленной ликвидации загрязнения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 w:rsidR="0066562B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правил пользования топливом, электрической и тепловой энергией, правил устройства электроустановок, эксплуатации электроустановок, топлив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 xml:space="preserve"> и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 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  <w:tr w:rsidR="0066562B">
        <w:trPr>
          <w:trHeight w:val="720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работ вахтой/бригадой/сменой, не укомплектованной полным составом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6562B">
        <w:trPr>
          <w:trHeight w:val="490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Несоблюдение Исполнителем (привлеченным им субисполнителем)  экологических, санитарно-эпидемиологических и иных требований при сборе, транспортировании, обработке, утилизации, обезвреживании, размещении отходов производства и потребления, а также требований к организации и содержанию мест временного накопления и хранения отходов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</w:tr>
      <w:tr w:rsidR="0066562B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Самовольное снятие и/или перемещение плодородного слоя почвы, порча земель 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  <w:tr w:rsidR="0066562B">
        <w:trPr>
          <w:trHeight w:val="1140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Загрязнение ледяного покрова водных объектов, водоохранных зон, акватории водных объектов отходами производства и потребления и/или вредными веществами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  <w:tr w:rsidR="0066562B">
        <w:trPr>
          <w:trHeight w:val="1530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Несоблюдение установленных требований  при водозаборе из водных объектов либо сброс загрязненных вод (стоков) в водные объекты / на водосборные площади, несоблюдение требований к сбору и очистке сточных вод, условий договора на пользование водным объектом 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  <w:tr w:rsidR="0066562B">
        <w:trPr>
          <w:trHeight w:val="840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Невыполнение обязанностей по содержанию и уборке рабочей площадки и прилегающей непосредственно к ней территории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  <w:tr w:rsidR="0066562B">
        <w:trPr>
          <w:trHeight w:val="885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Обнаружение у работников Исполнителя (привлеченного им субисполнителя) собак 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  <w:tr w:rsidR="0066562B">
        <w:trPr>
          <w:trHeight w:val="982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Необеспечение Исполнителем (привлеченным им субисполнителем)  рабочих мест работников:</w:t>
            </w:r>
            <w:r>
              <w:rPr>
                <w:sz w:val="22"/>
                <w:szCs w:val="22"/>
              </w:rPr>
              <w:br/>
              <w:t>– первичными средствами пожаротушения;</w:t>
            </w:r>
            <w:r>
              <w:rPr>
                <w:sz w:val="22"/>
                <w:szCs w:val="22"/>
              </w:rPr>
              <w:br/>
              <w:t>– средствами коллективной защиты;</w:t>
            </w:r>
            <w:r>
              <w:rPr>
                <w:sz w:val="22"/>
                <w:szCs w:val="22"/>
              </w:rPr>
              <w:br/>
              <w:t>– аптечками первой медицинской помощи;</w:t>
            </w:r>
            <w:r>
              <w:rPr>
                <w:sz w:val="22"/>
                <w:szCs w:val="22"/>
              </w:rPr>
              <w:br/>
              <w:t>– заземляющими устройствами;</w:t>
            </w:r>
            <w:r>
              <w:rPr>
                <w:sz w:val="22"/>
                <w:szCs w:val="22"/>
              </w:rPr>
              <w:br/>
              <w:t>– электроосвещением во взрывобезопасном исполнении;</w:t>
            </w:r>
          </w:p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специальной одеждой, специальной обувью и </w:t>
            </w:r>
            <w:proofErr w:type="gramStart"/>
            <w:r>
              <w:rPr>
                <w:sz w:val="22"/>
                <w:szCs w:val="22"/>
              </w:rPr>
              <w:t>СИЗ</w:t>
            </w:r>
            <w:proofErr w:type="gramEnd"/>
            <w:r>
              <w:rPr>
                <w:sz w:val="22"/>
                <w:szCs w:val="22"/>
              </w:rPr>
              <w:t xml:space="preserve"> соответствующей вредным и опасным факторам выполняемых работ (огнестойкая специальная одежда, </w:t>
            </w:r>
            <w:r>
              <w:rPr>
                <w:sz w:val="22"/>
                <w:szCs w:val="22"/>
              </w:rPr>
              <w:lastRenderedPageBreak/>
              <w:t>костюмы защиты от электрической дуги и тд);</w:t>
            </w:r>
            <w:r>
              <w:rPr>
                <w:sz w:val="22"/>
                <w:szCs w:val="22"/>
              </w:rPr>
              <w:br/>
              <w:t>– предупредительными знаками (плакатами, аншлагами и др.)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  <w:tr w:rsidR="0066562B">
        <w:trPr>
          <w:trHeight w:val="859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37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Выполнение работ с неисправным и/или неиспытанным инструментом и оборудованием, не прошедшим в установленном порядке экспертизу и диагностику, техническое освидетельствование, техническое обслуживание, планово – предупредительный ремонт и/или неполное комплектование бригады необходимым инструментом и оборудованием </w:t>
            </w:r>
            <w:proofErr w:type="gramEnd"/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  <w:tr w:rsidR="0066562B">
        <w:trPr>
          <w:trHeight w:val="585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Порча лесных насаждений, незаконная рубка лесов, лесных насаждений 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  <w:tr w:rsidR="0066562B">
        <w:trPr>
          <w:trHeight w:val="1395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Нарушение требований локальных нормативных актов Заказчика в области ПБОТОС, обязанность соблюдения которых предусмотрена Договором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6562B">
        <w:trPr>
          <w:trHeight w:val="2415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Направление/допу</w:t>
            </w:r>
            <w:proofErr w:type="gramStart"/>
            <w:r>
              <w:rPr>
                <w:sz w:val="22"/>
                <w:szCs w:val="22"/>
              </w:rPr>
              <w:t>ск к пр</w:t>
            </w:r>
            <w:proofErr w:type="gramEnd"/>
            <w:r>
              <w:rPr>
                <w:sz w:val="22"/>
                <w:szCs w:val="22"/>
              </w:rPr>
              <w:t xml:space="preserve">оизводству работ на производственных объектах и лицензионных участках Заказчика работников и/или транспорта Исполнителя (привлеченного им субисполнителя) без оформленных в установленном Заказчиком порядке пропусков/допусков либо с недействительным пропуском, передача личного пропуска другим лицам, допуск на объекты Заказчика по личному пропуску иных лиц 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 w:rsidR="0066562B">
        <w:trPr>
          <w:trHeight w:val="5235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Пронос, провоз (включая попытку совершения указанных действий), хранение, распространение, транспортировка на территории Заказчика:</w:t>
            </w:r>
            <w:r>
              <w:rPr>
                <w:sz w:val="22"/>
                <w:szCs w:val="22"/>
              </w:rPr>
              <w:br/>
              <w:t>–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представителем Заказчика, при условии соблюдения установленных правил и норм безопасности при перевозке и хранении;</w:t>
            </w:r>
            <w:proofErr w:type="gramEnd"/>
            <w:r>
              <w:rPr>
                <w:sz w:val="22"/>
                <w:szCs w:val="22"/>
              </w:rPr>
              <w:br/>
              <w:t>–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>
              <w:rPr>
                <w:sz w:val="22"/>
                <w:szCs w:val="22"/>
              </w:rPr>
              <w:br/>
              <w:t xml:space="preserve">– запрещенных орудий лова рыбных </w:t>
            </w:r>
            <w:r>
              <w:rPr>
                <w:sz w:val="22"/>
                <w:szCs w:val="22"/>
              </w:rPr>
              <w:lastRenderedPageBreak/>
              <w:t>запасов и дичи;</w:t>
            </w:r>
            <w:r>
              <w:rPr>
                <w:sz w:val="22"/>
                <w:szCs w:val="22"/>
              </w:rPr>
              <w:br/>
              <w:t>– иных запрещенных в гражданском обороте веществ и предметов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  <w:tr w:rsidR="0066562B">
        <w:trPr>
          <w:trHeight w:val="3075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Сокрытие Исполнителем (привлеченным им субисполнителем) информации о случаях употребления, нахождения на производственных объектах и лицензионных участках Заказчика работников Исполнителя (привлеченного им субисполнителя) в состоянии алкогольного, наркотического или токсического опьянения и/или пронос/провоз (включая попытку совершения указанного действия), хранение веществ, вызывающих алкогольное, наркотическое, токсическое или иное опьянение, либо уведомление о них с опозданием более чем на 24 часа с момента</w:t>
            </w:r>
            <w:proofErr w:type="gramEnd"/>
            <w:r>
              <w:rPr>
                <w:sz w:val="22"/>
                <w:szCs w:val="22"/>
              </w:rPr>
              <w:t xml:space="preserve"> обнаружения происшествия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 за единичный случай, 1000 за повторные случаи в период действия договора, но не более суммы договора</w:t>
            </w:r>
          </w:p>
        </w:tc>
      </w:tr>
      <w:tr w:rsidR="0066562B">
        <w:trPr>
          <w:trHeight w:val="348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Нахождение на производственных объектах и лицензионных участках Заказчика работников Исполнителя (привлеченного им субисполнителя) в состоянии алкогольного, наркотического или токсического 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 за единичный случай, 1000 за повторные случаи в период действия договора, но не более суммы договора</w:t>
            </w:r>
          </w:p>
        </w:tc>
      </w:tr>
      <w:tr w:rsidR="0066562B">
        <w:trPr>
          <w:trHeight w:val="1515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Привлечение к выполнению работ иностранных граждан, не имеющих регистрации по месту пребывания/месту жительства и (или) не имеющих разрешения на трудовую деятельность на территории РФ, а равно при отсутствии разрешения на привлечение иностранной рабочей силы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66562B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45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Самовольное занятие земельных участков в </w:t>
            </w:r>
            <w:proofErr w:type="gramStart"/>
            <w:r>
              <w:rPr>
                <w:sz w:val="22"/>
                <w:szCs w:val="22"/>
              </w:rPr>
              <w:t>границах</w:t>
            </w:r>
            <w:proofErr w:type="gramEnd"/>
            <w:r>
              <w:rPr>
                <w:sz w:val="22"/>
                <w:szCs w:val="22"/>
              </w:rPr>
              <w:t xml:space="preserve"> землеотвода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  <w:tr w:rsidR="0066562B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Самовольная добыча общераспространенных полезных ископаемых (в том числе песок, гравий, глина, торф, сапропель) в пределах землеотвода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  <w:tr w:rsidR="0066562B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Самовольное подключение к сетям энергоснабжения Заказчика (за каждый факт)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  <w:tr w:rsidR="0066562B">
        <w:trPr>
          <w:trHeight w:val="1020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Нарушение требований Стандарта «О </w:t>
            </w:r>
            <w:proofErr w:type="gramStart"/>
            <w:r>
              <w:rPr>
                <w:sz w:val="22"/>
                <w:szCs w:val="22"/>
              </w:rPr>
              <w:t>пропускном</w:t>
            </w:r>
            <w:proofErr w:type="gramEnd"/>
            <w:r>
              <w:rPr>
                <w:sz w:val="22"/>
                <w:szCs w:val="22"/>
              </w:rPr>
              <w:t xml:space="preserve"> и внутриобъектовом режимах» Заказчика,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6562B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Совершение работниками Исполнителя (привлеченного им субисполнителя) проноса (попытка провоза, проноса) на Объект или с Объекта товароматериальных ценностей (ТМЦ), горюче-смазочных материалов (ГСМ) без товаросопроводительных документов и/или по поддельным товаросопроводительным документам и/или по ненадлежащим </w:t>
            </w:r>
            <w:proofErr w:type="gramStart"/>
            <w:r>
              <w:rPr>
                <w:sz w:val="22"/>
                <w:szCs w:val="22"/>
              </w:rPr>
              <w:t>образом</w:t>
            </w:r>
            <w:proofErr w:type="gramEnd"/>
            <w:r>
              <w:rPr>
                <w:sz w:val="22"/>
                <w:szCs w:val="22"/>
              </w:rPr>
              <w:t xml:space="preserve"> оформленным товаросопроводительным документам</w:t>
            </w:r>
          </w:p>
        </w:tc>
        <w:tc>
          <w:tcPr>
            <w:tcW w:w="726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6562B">
        <w:trPr>
          <w:trHeight w:val="315"/>
        </w:trPr>
        <w:tc>
          <w:tcPr>
            <w:tcW w:w="624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4288" w:type="dxa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согласованное с Заказчиком уничтожение/повреждение материалов видеофиксации с целью сокрытия  обстоятель</w:t>
            </w:r>
            <w:proofErr w:type="gramStart"/>
            <w:r>
              <w:rPr>
                <w:sz w:val="22"/>
                <w:szCs w:val="22"/>
              </w:rPr>
              <w:t>ств пр</w:t>
            </w:r>
            <w:proofErr w:type="gramEnd"/>
            <w:r>
              <w:rPr>
                <w:sz w:val="22"/>
                <w:szCs w:val="22"/>
              </w:rPr>
              <w:t>оисшествия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66562B" w:rsidRDefault="00EF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66562B" w:rsidRDefault="00EF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66562B" w:rsidRDefault="00EF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:rsidR="0066562B" w:rsidRDefault="00EF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66562B" w:rsidRDefault="00EF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66562B" w:rsidRDefault="00EF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</w:tr>
      <w:tr w:rsidR="0066562B">
        <w:trPr>
          <w:trHeight w:val="270"/>
        </w:trPr>
        <w:tc>
          <w:tcPr>
            <w:tcW w:w="624" w:type="dxa"/>
            <w:shd w:val="clear" w:color="auto" w:fill="auto"/>
            <w:hideMark/>
          </w:tcPr>
          <w:p w:rsidR="0066562B" w:rsidRDefault="0066562B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shd w:val="clear" w:color="auto" w:fill="auto"/>
            <w:hideMark/>
          </w:tcPr>
          <w:p w:rsidR="0066562B" w:rsidRDefault="0066562B">
            <w:pPr>
              <w:rPr>
                <w:sz w:val="22"/>
                <w:szCs w:val="22"/>
              </w:rPr>
            </w:pPr>
          </w:p>
        </w:tc>
        <w:tc>
          <w:tcPr>
            <w:tcW w:w="726" w:type="dxa"/>
            <w:shd w:val="clear" w:color="auto" w:fill="auto"/>
            <w:hideMark/>
          </w:tcPr>
          <w:p w:rsidR="0066562B" w:rsidRDefault="0066562B">
            <w:pPr>
              <w:rPr>
                <w:sz w:val="22"/>
                <w:szCs w:val="22"/>
              </w:rPr>
            </w:pPr>
          </w:p>
        </w:tc>
        <w:tc>
          <w:tcPr>
            <w:tcW w:w="745" w:type="dxa"/>
            <w:shd w:val="clear" w:color="auto" w:fill="auto"/>
            <w:hideMark/>
          </w:tcPr>
          <w:p w:rsidR="0066562B" w:rsidRDefault="0066562B">
            <w:pPr>
              <w:rPr>
                <w:sz w:val="22"/>
                <w:szCs w:val="22"/>
              </w:rPr>
            </w:pPr>
          </w:p>
        </w:tc>
        <w:tc>
          <w:tcPr>
            <w:tcW w:w="732" w:type="dxa"/>
            <w:shd w:val="clear" w:color="auto" w:fill="auto"/>
            <w:hideMark/>
          </w:tcPr>
          <w:p w:rsidR="0066562B" w:rsidRDefault="0066562B">
            <w:pPr>
              <w:rPr>
                <w:sz w:val="22"/>
                <w:szCs w:val="22"/>
              </w:rPr>
            </w:pPr>
          </w:p>
        </w:tc>
        <w:tc>
          <w:tcPr>
            <w:tcW w:w="965" w:type="dxa"/>
            <w:shd w:val="clear" w:color="auto" w:fill="auto"/>
            <w:hideMark/>
          </w:tcPr>
          <w:p w:rsidR="0066562B" w:rsidRDefault="0066562B">
            <w:pPr>
              <w:rPr>
                <w:sz w:val="22"/>
                <w:szCs w:val="22"/>
              </w:rPr>
            </w:pPr>
          </w:p>
        </w:tc>
        <w:tc>
          <w:tcPr>
            <w:tcW w:w="895" w:type="dxa"/>
            <w:shd w:val="clear" w:color="auto" w:fill="auto"/>
            <w:hideMark/>
          </w:tcPr>
          <w:p w:rsidR="0066562B" w:rsidRDefault="0066562B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  <w:hideMark/>
          </w:tcPr>
          <w:p w:rsidR="0066562B" w:rsidRDefault="0066562B">
            <w:pPr>
              <w:rPr>
                <w:sz w:val="22"/>
                <w:szCs w:val="22"/>
              </w:rPr>
            </w:pPr>
          </w:p>
        </w:tc>
      </w:tr>
      <w:tr w:rsidR="0066562B">
        <w:trPr>
          <w:trHeight w:val="300"/>
        </w:trPr>
        <w:tc>
          <w:tcPr>
            <w:tcW w:w="9923" w:type="dxa"/>
            <w:gridSpan w:val="8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Примечания:</w:t>
            </w:r>
          </w:p>
        </w:tc>
      </w:tr>
      <w:tr w:rsidR="0066562B">
        <w:trPr>
          <w:trHeight w:val="300"/>
        </w:trPr>
        <w:tc>
          <w:tcPr>
            <w:tcW w:w="9923" w:type="dxa"/>
            <w:gridSpan w:val="8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 Штраф взыскивается за каждый факт нарушения.</w:t>
            </w:r>
          </w:p>
        </w:tc>
      </w:tr>
      <w:tr w:rsidR="0066562B">
        <w:trPr>
          <w:trHeight w:val="632"/>
        </w:trPr>
        <w:tc>
          <w:tcPr>
            <w:tcW w:w="9923" w:type="dxa"/>
            <w:gridSpan w:val="8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 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установлено нарушение двумя и более работниками Исполнителя (привлеченного им субисполнителя), штраф взыскивается по факту (один факт соответствует нарушению одним работником). </w:t>
            </w:r>
          </w:p>
        </w:tc>
      </w:tr>
      <w:tr w:rsidR="0066562B">
        <w:trPr>
          <w:trHeight w:val="632"/>
        </w:trPr>
        <w:tc>
          <w:tcPr>
            <w:tcW w:w="9923" w:type="dxa"/>
            <w:gridSpan w:val="8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В случае</w:t>
            </w:r>
            <w:proofErr w:type="gramStart"/>
            <w:r>
              <w:rPr>
                <w:sz w:val="22"/>
                <w:szCs w:val="22"/>
              </w:rPr>
              <w:t>,</w:t>
            </w:r>
            <w:proofErr w:type="gramEnd"/>
            <w:r>
              <w:rPr>
                <w:sz w:val="22"/>
                <w:szCs w:val="22"/>
              </w:rPr>
              <w:t xml:space="preserve"> если установлено несколько нарушений работниками Исполнителя (привлеченного им субисполнителя) в рамках одного события/происшествия/ДТП, взыскивается сумма штрафов за каждый  факт нарушения).</w:t>
            </w:r>
          </w:p>
        </w:tc>
      </w:tr>
      <w:tr w:rsidR="0066562B">
        <w:trPr>
          <w:trHeight w:val="467"/>
        </w:trPr>
        <w:tc>
          <w:tcPr>
            <w:tcW w:w="9923" w:type="dxa"/>
            <w:gridSpan w:val="8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Штраф взыскивается сверх иных выплат, уплачиваемых в связи с причинением Заказчику убытков.</w:t>
            </w:r>
          </w:p>
        </w:tc>
      </w:tr>
      <w:tr w:rsidR="0066562B">
        <w:trPr>
          <w:trHeight w:val="1020"/>
        </w:trPr>
        <w:tc>
          <w:tcPr>
            <w:tcW w:w="9923" w:type="dxa"/>
            <w:gridSpan w:val="8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 По тексту Перечня понятием «работник Исполнителя (привлеченного им субисполнителя)» охватывается перечень лиц, включая лиц, с которыми Исполнитель, контрагент Исполнителя заключил трудовой договор, гражданско-правовой договор, иные лица, которые для Исполнителя/контрагента Исполнителя выполняют </w:t>
            </w:r>
            <w:proofErr w:type="gramStart"/>
            <w:r>
              <w:rPr>
                <w:sz w:val="22"/>
                <w:szCs w:val="22"/>
              </w:rPr>
              <w:t>работы</w:t>
            </w:r>
            <w:proofErr w:type="gramEnd"/>
            <w:r>
              <w:rPr>
                <w:sz w:val="22"/>
                <w:szCs w:val="22"/>
              </w:rPr>
              <w:t>/оказывают услуги на объектах Заказчика.</w:t>
            </w:r>
          </w:p>
        </w:tc>
      </w:tr>
      <w:tr w:rsidR="0066562B">
        <w:trPr>
          <w:trHeight w:val="674"/>
        </w:trPr>
        <w:tc>
          <w:tcPr>
            <w:tcW w:w="9923" w:type="dxa"/>
            <w:gridSpan w:val="8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исполнитель отвечает за нарушения Субисполнителей, иных третьих лиц, выполняющих работы на производственных объектах или лицензионных участках Заказчика, как </w:t>
            </w:r>
            <w:proofErr w:type="gramStart"/>
            <w:r>
              <w:rPr>
                <w:sz w:val="22"/>
                <w:szCs w:val="22"/>
              </w:rPr>
              <w:t>за</w:t>
            </w:r>
            <w:proofErr w:type="gramEnd"/>
            <w:r>
              <w:rPr>
                <w:sz w:val="22"/>
                <w:szCs w:val="22"/>
              </w:rPr>
              <w:t xml:space="preserve"> свои собственные.</w:t>
            </w:r>
          </w:p>
        </w:tc>
      </w:tr>
      <w:tr w:rsidR="0066562B">
        <w:trPr>
          <w:trHeight w:val="615"/>
        </w:trPr>
        <w:tc>
          <w:tcPr>
            <w:tcW w:w="9923" w:type="dxa"/>
            <w:gridSpan w:val="8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В случае неоднократного совершения в течение шести месяцев одного и того же нарушения, указанного в настоящем Перечне, размер налагаемого штрафа увеличивается в 1,5 раза.</w:t>
            </w:r>
          </w:p>
        </w:tc>
      </w:tr>
      <w:tr w:rsidR="0066562B">
        <w:trPr>
          <w:trHeight w:val="2145"/>
        </w:trPr>
        <w:tc>
          <w:tcPr>
            <w:tcW w:w="9923" w:type="dxa"/>
            <w:gridSpan w:val="8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8. Факт нарушения устанавливается актом, подписанным куратором договора, специалистом службы ПБОТОС и/или работником Заказчика, осуществляющего производственный контроль, либо третьим лицом, привлеченным Заказчиком для осуществления контроля (супервайзеры, </w:t>
            </w:r>
            <w:proofErr w:type="gramStart"/>
            <w:r>
              <w:rPr>
                <w:sz w:val="22"/>
                <w:szCs w:val="22"/>
              </w:rPr>
              <w:t>лица</w:t>
            </w:r>
            <w:proofErr w:type="gramEnd"/>
            <w:r>
              <w:rPr>
                <w:sz w:val="22"/>
                <w:szCs w:val="22"/>
              </w:rPr>
              <w:t xml:space="preserve"> осуществляющие технический надзор), и/или работниками предприятия, привлеченного для оказания охранных услуг, а также работником Исполнителя и/или представителем исполнителем. Общее количество лиц, подписывающих акт, должно быть не менее двух человек.             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br/>
              <w:t>В случае отказа работника Исполнителя  от подписания акта, такой факт фиксируется в акте об отказе подписания и выявленных нарушениях и заверяется подписью свидетеля</w:t>
            </w:r>
            <w:proofErr w:type="gramStart"/>
            <w:r>
              <w:rPr>
                <w:sz w:val="22"/>
                <w:szCs w:val="22"/>
              </w:rPr>
              <w:t xml:space="preserve"> (-</w:t>
            </w:r>
            <w:proofErr w:type="gramEnd"/>
            <w:r>
              <w:rPr>
                <w:sz w:val="22"/>
                <w:szCs w:val="22"/>
              </w:rPr>
              <w:t xml:space="preserve">ей). Отказ работника Исполнителя от подписания акта не является препятствием для взыскания штрафа. Акт, оформленный в </w:t>
            </w:r>
            <w:proofErr w:type="gramStart"/>
            <w:r>
              <w:rPr>
                <w:sz w:val="22"/>
                <w:szCs w:val="22"/>
              </w:rPr>
              <w:t>соответствии</w:t>
            </w:r>
            <w:proofErr w:type="gramEnd"/>
            <w:r>
              <w:rPr>
                <w:sz w:val="22"/>
                <w:szCs w:val="22"/>
              </w:rPr>
              <w:t xml:space="preserve"> с настоящим пунктом, является достаточным основанием для предъявления претензии и взыскания штрафа.</w:t>
            </w:r>
          </w:p>
        </w:tc>
      </w:tr>
      <w:tr w:rsidR="0066562B">
        <w:trPr>
          <w:trHeight w:val="360"/>
        </w:trPr>
        <w:tc>
          <w:tcPr>
            <w:tcW w:w="9923" w:type="dxa"/>
            <w:gridSpan w:val="8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 Кроме того, факт нарушения может быть подтвержден одним из следующих документов:</w:t>
            </w:r>
          </w:p>
        </w:tc>
      </w:tr>
      <w:tr w:rsidR="0066562B">
        <w:trPr>
          <w:trHeight w:val="390"/>
        </w:trPr>
        <w:tc>
          <w:tcPr>
            <w:tcW w:w="9923" w:type="dxa"/>
            <w:gridSpan w:val="8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актом – предписанием куратора договора, специалистом ПБОТОС, специалиста Заказчика, осуществляющего производственный контроль,</w:t>
            </w:r>
          </w:p>
        </w:tc>
      </w:tr>
      <w:tr w:rsidR="0066562B">
        <w:trPr>
          <w:trHeight w:val="660"/>
        </w:trPr>
        <w:tc>
          <w:tcPr>
            <w:tcW w:w="9923" w:type="dxa"/>
            <w:gridSpan w:val="8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актом расследования причин происшествия, составленного комиссией по расследованию причин происшествия Заказчика с участием представителей Исполнителя,</w:t>
            </w:r>
          </w:p>
        </w:tc>
      </w:tr>
      <w:tr w:rsidR="0066562B">
        <w:trPr>
          <w:trHeight w:val="495"/>
        </w:trPr>
        <w:tc>
          <w:tcPr>
            <w:tcW w:w="9923" w:type="dxa"/>
            <w:gridSpan w:val="8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соответствующим актом или предписанием контролирующих и надзорных органов.</w:t>
            </w:r>
          </w:p>
        </w:tc>
      </w:tr>
      <w:tr w:rsidR="0066562B">
        <w:trPr>
          <w:trHeight w:val="735"/>
        </w:trPr>
        <w:tc>
          <w:tcPr>
            <w:tcW w:w="9923" w:type="dxa"/>
            <w:gridSpan w:val="8"/>
            <w:shd w:val="clear" w:color="auto" w:fill="auto"/>
            <w:hideMark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 В случае противоречий между условиями Договора и условиями настоящего Приложения применению подлежат условия настоящего Приложения.</w:t>
            </w:r>
          </w:p>
        </w:tc>
      </w:tr>
      <w:tr w:rsidR="0066562B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 В случаях выявления представителями Исполнителя фактов нахождение на производственных объектах и лицензионных участках Заказчика работников Исполнителя (привлеченного им субисполнителя</w:t>
            </w:r>
            <w:proofErr w:type="gramStart"/>
            <w:r>
              <w:rPr>
                <w:sz w:val="22"/>
                <w:szCs w:val="22"/>
              </w:rPr>
              <w:t>)в</w:t>
            </w:r>
            <w:proofErr w:type="gramEnd"/>
            <w:r>
              <w:rPr>
                <w:sz w:val="22"/>
                <w:szCs w:val="22"/>
              </w:rPr>
              <w:t xml:space="preserve"> состоянии алкогольного, наркотического или токсического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опьянение, и своевременного сообщения о данных фактах в установленном п. 41 настоящего перечня порядке Заказчику, штрафные санкции к Исполнителю не применяются. </w:t>
            </w:r>
          </w:p>
        </w:tc>
      </w:tr>
      <w:tr w:rsidR="0066562B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12. 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В случае неисполнения работниками Исполнителя </w:t>
            </w:r>
            <w:r>
              <w:rPr>
                <w:sz w:val="22"/>
                <w:szCs w:val="22"/>
              </w:rPr>
              <w:t xml:space="preserve">(привлеченного им субисполнителя) </w:t>
            </w:r>
            <w:r>
              <w:rPr>
                <w:color w:val="000000"/>
                <w:sz w:val="22"/>
                <w:szCs w:val="22"/>
              </w:rPr>
              <w:t>требований действующего законодательства в области ПБОТОС и/или ЛНД Заказчика в области ПБОТОС, а также, если действия работников Исполнителя (привлеченного им субисполнителя)  могут привести к возникновению аварии, инцидента, несчастного случая, пожара, ДТП, причинению ущерба имуществу Заказчика и окружающей среде, представители Заказчика вправе приостановить работу Исполнителя (привлеченного им субисполнителя) и наложить на Исполнителя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штрафные санкции.</w:t>
            </w:r>
          </w:p>
        </w:tc>
      </w:tr>
      <w:tr w:rsidR="0066562B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66562B" w:rsidRDefault="00EF0274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13. 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Нарушение Исполнителем </w:t>
            </w:r>
            <w:r>
              <w:rPr>
                <w:sz w:val="22"/>
                <w:szCs w:val="22"/>
              </w:rPr>
              <w:t xml:space="preserve">(привлеченным им субисполнителем) </w:t>
            </w:r>
            <w:r>
              <w:rPr>
                <w:color w:val="000000"/>
                <w:sz w:val="22"/>
                <w:szCs w:val="22"/>
              </w:rPr>
              <w:t xml:space="preserve">требований действующего законодательства в области ПБОТОС, ЛНД Заказчика в области ПБОТОС, нарушения производственной и трудовой дисциплины, предусмотренные настоящим Приложением рассматриваются как существенные нарушения условий договора и влекут за собой наложение штрафных санкций на исполнителя, а также являются основанием для расторжения договора в одностороннем порядке со стороны Заказчика. </w:t>
            </w:r>
            <w:proofErr w:type="gramEnd"/>
          </w:p>
        </w:tc>
      </w:tr>
    </w:tbl>
    <w:p w:rsidR="0066562B" w:rsidRDefault="0066562B">
      <w:pPr>
        <w:ind w:left="705"/>
        <w:rPr>
          <w:sz w:val="22"/>
          <w:szCs w:val="22"/>
        </w:rPr>
      </w:pPr>
    </w:p>
    <w:p w:rsidR="0066562B" w:rsidRDefault="00EF0274">
      <w:pPr>
        <w:ind w:left="70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Подписи сторон:</w:t>
      </w:r>
    </w:p>
    <w:p w:rsidR="0066562B" w:rsidRDefault="006656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5"/>
        <w:gridCol w:w="4826"/>
      </w:tblGrid>
      <w:tr w:rsidR="0066562B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2B" w:rsidRDefault="00EF0274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2B" w:rsidRDefault="00EF0274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От ИСПОЛНИТЕЛЯ</w:t>
            </w:r>
          </w:p>
        </w:tc>
      </w:tr>
      <w:tr w:rsidR="0066562B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CEB" w:rsidRPr="00810CEB" w:rsidRDefault="00EF0274" w:rsidP="00810CEB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  <w:fldChar w:fldCharType="separate"/>
            </w:r>
            <w:r w:rsidR="00675EB2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810CEB" w:rsidRPr="00810CEB">
              <w:rPr>
                <w:b/>
                <w:color w:val="000000"/>
                <w:sz w:val="22"/>
                <w:szCs w:val="22"/>
              </w:rPr>
              <w:t>Директор филиала</w:t>
            </w:r>
          </w:p>
          <w:p w:rsidR="0066562B" w:rsidRDefault="00810CEB" w:rsidP="00810CEB">
            <w:pPr>
              <w:rPr>
                <w:b/>
                <w:color w:val="000000"/>
                <w:sz w:val="22"/>
                <w:szCs w:val="22"/>
              </w:rPr>
            </w:pPr>
            <w:r w:rsidRPr="00810CEB">
              <w:rPr>
                <w:b/>
                <w:color w:val="000000"/>
                <w:sz w:val="22"/>
                <w:szCs w:val="22"/>
              </w:rPr>
              <w:t>в. г. Стрежевой</w:t>
            </w:r>
            <w:r w:rsidR="00EF0274">
              <w:rPr>
                <w:b/>
                <w:color w:val="000000"/>
                <w:sz w:val="22"/>
                <w:szCs w:val="22"/>
              </w:rPr>
              <w:fldChar w:fldCharType="end"/>
            </w:r>
            <w:r w:rsidR="00EF0274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F0274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="00EF0274">
              <w:rPr>
                <w:b/>
                <w:color w:val="000000"/>
                <w:sz w:val="22"/>
                <w:szCs w:val="22"/>
              </w:rPr>
            </w:r>
            <w:r w:rsidR="00EF0274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="00EF0274">
              <w:rPr>
                <w:b/>
                <w:color w:val="000000"/>
                <w:sz w:val="22"/>
                <w:szCs w:val="22"/>
              </w:rPr>
              <w:t> </w:t>
            </w:r>
            <w:r w:rsidR="00EF0274">
              <w:rPr>
                <w:b/>
                <w:color w:val="000000"/>
                <w:sz w:val="22"/>
                <w:szCs w:val="22"/>
              </w:rPr>
              <w:t> </w:t>
            </w:r>
            <w:r w:rsidR="00EF0274">
              <w:rPr>
                <w:b/>
                <w:color w:val="000000"/>
                <w:sz w:val="22"/>
                <w:szCs w:val="22"/>
              </w:rPr>
              <w:t> </w:t>
            </w:r>
            <w:r w:rsidR="00EF0274">
              <w:rPr>
                <w:b/>
                <w:color w:val="000000"/>
                <w:sz w:val="22"/>
                <w:szCs w:val="22"/>
              </w:rPr>
              <w:t> </w:t>
            </w:r>
            <w:r w:rsidR="00EF0274">
              <w:rPr>
                <w:b/>
                <w:color w:val="000000"/>
                <w:sz w:val="22"/>
                <w:szCs w:val="22"/>
              </w:rPr>
              <w:t> </w:t>
            </w:r>
            <w:r w:rsidR="00EF0274">
              <w:rPr>
                <w:b/>
                <w:color w:val="000000"/>
                <w:sz w:val="22"/>
                <w:szCs w:val="22"/>
              </w:rPr>
              <w:fldChar w:fldCharType="end"/>
            </w:r>
            <w:r w:rsidR="00EF0274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F0274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="00EF0274">
              <w:rPr>
                <w:b/>
                <w:color w:val="000000"/>
                <w:sz w:val="22"/>
                <w:szCs w:val="22"/>
              </w:rPr>
            </w:r>
            <w:r w:rsidR="00EF0274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="00EF0274">
              <w:rPr>
                <w:b/>
                <w:color w:val="000000"/>
                <w:sz w:val="22"/>
                <w:szCs w:val="22"/>
              </w:rPr>
              <w:t> </w:t>
            </w:r>
            <w:r w:rsidR="00EF0274">
              <w:rPr>
                <w:b/>
                <w:color w:val="000000"/>
                <w:sz w:val="22"/>
                <w:szCs w:val="22"/>
              </w:rPr>
              <w:t> </w:t>
            </w:r>
            <w:r w:rsidR="00EF0274">
              <w:rPr>
                <w:b/>
                <w:color w:val="000000"/>
                <w:sz w:val="22"/>
                <w:szCs w:val="22"/>
              </w:rPr>
              <w:t> </w:t>
            </w:r>
            <w:r w:rsidR="00EF0274">
              <w:rPr>
                <w:b/>
                <w:color w:val="000000"/>
                <w:sz w:val="22"/>
                <w:szCs w:val="22"/>
              </w:rPr>
              <w:t> </w:t>
            </w:r>
            <w:r w:rsidR="00EF0274">
              <w:rPr>
                <w:b/>
                <w:color w:val="000000"/>
                <w:sz w:val="22"/>
                <w:szCs w:val="22"/>
              </w:rPr>
              <w:t> </w:t>
            </w:r>
            <w:r w:rsidR="00EF0274">
              <w:rPr>
                <w:b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2B" w:rsidRDefault="00EF0274" w:rsidP="000F69E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  <w:fldChar w:fldCharType="separate"/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="00810CEB" w:rsidRPr="00810CEB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fldChar w:fldCharType="end"/>
            </w:r>
            <w:r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  <w:fldChar w:fldCharType="separate"/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fldChar w:fldCharType="end"/>
            </w:r>
            <w:r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  <w:fldChar w:fldCharType="separate"/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fldChar w:fldCharType="end"/>
            </w:r>
          </w:p>
        </w:tc>
      </w:tr>
      <w:tr w:rsidR="0066562B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2B" w:rsidRDefault="00EF0274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  <w:fldChar w:fldCharType="separate"/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fldChar w:fldCharType="end"/>
            </w:r>
            <w:r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  <w:fldChar w:fldCharType="separate"/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fldChar w:fldCharType="end"/>
            </w:r>
            <w:r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  <w:fldChar w:fldCharType="separate"/>
            </w:r>
          </w:p>
          <w:p w:rsidR="0066562B" w:rsidRDefault="00EF0274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                                </w:t>
            </w:r>
            <w:r w:rsidR="004304E9" w:rsidRPr="004304E9">
              <w:rPr>
                <w:b/>
                <w:color w:val="000000"/>
                <w:sz w:val="22"/>
                <w:szCs w:val="22"/>
              </w:rPr>
              <w:t>А.И. Валиулин</w:t>
            </w:r>
            <w:r>
              <w:rPr>
                <w:b/>
                <w:color w:val="000000"/>
                <w:sz w:val="22"/>
                <w:szCs w:val="22"/>
              </w:rPr>
              <w:fldChar w:fldCharType="end"/>
            </w:r>
          </w:p>
          <w:p w:rsidR="0066562B" w:rsidRDefault="00EF0274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М.П.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62B" w:rsidRDefault="00EF0274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  <w:fldChar w:fldCharType="separate"/>
            </w:r>
          </w:p>
          <w:p w:rsidR="0066562B" w:rsidRDefault="00EF0274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                   </w:t>
            </w:r>
            <w:r>
              <w:rPr>
                <w:b/>
                <w:color w:val="000000"/>
                <w:sz w:val="22"/>
                <w:szCs w:val="22"/>
              </w:rPr>
              <w:fldChar w:fldCharType="end"/>
            </w:r>
            <w:r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  <w:fldChar w:fldCharType="separate"/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fldChar w:fldCharType="end"/>
            </w:r>
            <w:r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>
              <w:rPr>
                <w:b/>
                <w:color w:val="000000"/>
                <w:sz w:val="22"/>
                <w:szCs w:val="22"/>
              </w:rPr>
            </w:r>
            <w:r>
              <w:rPr>
                <w:b/>
                <w:color w:val="000000"/>
                <w:sz w:val="22"/>
                <w:szCs w:val="22"/>
              </w:rPr>
              <w:fldChar w:fldCharType="separate"/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t> </w:t>
            </w:r>
            <w:r>
              <w:rPr>
                <w:b/>
                <w:color w:val="000000"/>
                <w:sz w:val="22"/>
                <w:szCs w:val="22"/>
              </w:rPr>
              <w:fldChar w:fldCharType="end"/>
            </w:r>
          </w:p>
          <w:p w:rsidR="0066562B" w:rsidRDefault="00EF0274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М.П.</w:t>
            </w:r>
          </w:p>
        </w:tc>
      </w:tr>
    </w:tbl>
    <w:p w:rsidR="0066562B" w:rsidRDefault="0066562B">
      <w:pPr>
        <w:rPr>
          <w:b/>
          <w:bCs/>
          <w:sz w:val="14"/>
          <w:szCs w:val="14"/>
        </w:rPr>
      </w:pPr>
    </w:p>
    <w:p w:rsidR="0066562B" w:rsidRDefault="0066562B"/>
    <w:sectPr w:rsidR="006656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62B" w:rsidRDefault="00EF0274">
      <w:r>
        <w:separator/>
      </w:r>
    </w:p>
  </w:endnote>
  <w:endnote w:type="continuationSeparator" w:id="0">
    <w:p w:rsidR="0066562B" w:rsidRDefault="00EF0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62B" w:rsidRDefault="0066562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62B" w:rsidRDefault="0066562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62B" w:rsidRDefault="0066562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62B" w:rsidRDefault="00EF0274">
      <w:r>
        <w:separator/>
      </w:r>
    </w:p>
  </w:footnote>
  <w:footnote w:type="continuationSeparator" w:id="0">
    <w:p w:rsidR="0066562B" w:rsidRDefault="00EF02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62B" w:rsidRDefault="0066562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62B" w:rsidRDefault="0078454C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left:0;text-align:left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562B" w:rsidRDefault="006656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forms" w:enforcement="1" w:cryptProviderType="rsaFull" w:cryptAlgorithmClass="hash" w:cryptAlgorithmType="typeAny" w:cryptAlgorithmSid="4" w:cryptSpinCount="100000" w:hash="SwvqlCmN156RCHK2XY8e5jfR0S0=" w:salt="yvZvV/DBfPBcg73fdtXDkw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62B"/>
    <w:rsid w:val="000F69E6"/>
    <w:rsid w:val="004304E9"/>
    <w:rsid w:val="0066562B"/>
    <w:rsid w:val="006702B5"/>
    <w:rsid w:val="00675EB2"/>
    <w:rsid w:val="0078454C"/>
    <w:rsid w:val="00810CEB"/>
    <w:rsid w:val="00EF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2943</Words>
  <Characters>16780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19684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evmaksimova</dc:creator>
  <cp:lastModifiedBy>Головина Марина Сергеевна</cp:lastModifiedBy>
  <cp:revision>16</cp:revision>
  <cp:lastPrinted>2020-02-05T06:19:00Z</cp:lastPrinted>
  <dcterms:created xsi:type="dcterms:W3CDTF">2019-10-07T07:34:00Z</dcterms:created>
  <dcterms:modified xsi:type="dcterms:W3CDTF">2025-01-10T07:22:00Z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NLiII{}IKkNX00002X16Jm</vt:lpwstr>
  </property>
</Properties>
</file>