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032" w:rsidRPr="00695060" w:rsidRDefault="00F73A3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5060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695060" w:rsidRPr="00695060" w:rsidRDefault="00695060" w:rsidP="006950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5060">
        <w:rPr>
          <w:rFonts w:ascii="Times New Roman" w:hAnsi="Times New Roman" w:cs="Times New Roman"/>
          <w:sz w:val="24"/>
          <w:szCs w:val="24"/>
        </w:rPr>
        <w:t xml:space="preserve">к Договору купли-продажи лома </w:t>
      </w:r>
    </w:p>
    <w:p w:rsidR="00626032" w:rsidRPr="00695060" w:rsidRDefault="00695060" w:rsidP="0069506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95060">
        <w:rPr>
          <w:rFonts w:ascii="Times New Roman" w:hAnsi="Times New Roman" w:cs="Times New Roman"/>
          <w:sz w:val="24"/>
          <w:szCs w:val="24"/>
        </w:rPr>
        <w:t>цветных и черных металлов</w:t>
      </w:r>
    </w:p>
    <w:p w:rsidR="00626032" w:rsidRDefault="00CA3F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№_____ от «__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_______________202_</w:t>
      </w:r>
    </w:p>
    <w:p w:rsidR="00626032" w:rsidRDefault="006260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032" w:rsidRDefault="0062603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СОБЛЮДЕНИИ ТРЕБОВАНИЙ</w:t>
      </w:r>
      <w:r>
        <w:rPr>
          <w:rFonts w:ascii="Times New Roman" w:hAnsi="Times New Roman" w:cs="Times New Roman"/>
          <w:b/>
          <w:sz w:val="24"/>
          <w:szCs w:val="24"/>
        </w:rPr>
        <w:br/>
        <w:t>ЛОКАЛЬНЫХ НОРМАТИВНЫХ ДОКУМЕНТОВ</w:t>
      </w:r>
    </w:p>
    <w:p w:rsidR="00626032" w:rsidRDefault="006260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6032" w:rsidRDefault="00CA3F41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pacing w:val="-2"/>
          <w:sz w:val="24"/>
          <w:szCs w:val="24"/>
        </w:rPr>
        <w:t>ООО «Удмуртэнергонефть»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именуемое в дальнейшем «</w:t>
      </w:r>
      <w:r w:rsidR="00C44A89">
        <w:rPr>
          <w:rFonts w:ascii="Times New Roman" w:eastAsia="MS Mincho" w:hAnsi="Times New Roman" w:cs="Times New Roman"/>
          <w:sz w:val="24"/>
          <w:szCs w:val="24"/>
        </w:rPr>
        <w:t>Продавец</w:t>
      </w:r>
      <w:r>
        <w:rPr>
          <w:rFonts w:ascii="Times New Roman" w:eastAsia="MS Mincho" w:hAnsi="Times New Roman" w:cs="Times New Roman"/>
          <w:sz w:val="24"/>
          <w:szCs w:val="24"/>
        </w:rPr>
        <w:t>», в лице Директора И.Л. Беляева, дей</w:t>
      </w:r>
      <w:r>
        <w:rPr>
          <w:rFonts w:ascii="Times New Roman" w:eastAsia="MS Mincho" w:hAnsi="Times New Roman" w:cs="Times New Roman"/>
          <w:sz w:val="24"/>
          <w:szCs w:val="24"/>
        </w:rPr>
        <w:softHyphen/>
        <w:t>ствующего на основании Устава, с одной стороны и ____________________, именуемое в даль</w:t>
      </w:r>
      <w:r>
        <w:rPr>
          <w:rFonts w:ascii="Times New Roman" w:eastAsia="MS Mincho" w:hAnsi="Times New Roman" w:cs="Times New Roman"/>
          <w:sz w:val="24"/>
          <w:szCs w:val="24"/>
        </w:rPr>
        <w:softHyphen/>
        <w:t>нейшем «</w:t>
      </w:r>
      <w:r w:rsidR="00C44A89">
        <w:rPr>
          <w:rFonts w:ascii="Times New Roman" w:eastAsia="MS Mincho" w:hAnsi="Times New Roman" w:cs="Times New Roman"/>
          <w:sz w:val="24"/>
          <w:szCs w:val="24"/>
        </w:rPr>
        <w:t>Покупатель</w:t>
      </w:r>
      <w:r>
        <w:rPr>
          <w:rFonts w:ascii="Times New Roman" w:eastAsia="MS Mincho" w:hAnsi="Times New Roman" w:cs="Times New Roman"/>
          <w:sz w:val="24"/>
          <w:szCs w:val="24"/>
        </w:rPr>
        <w:t>», в лице ____________________, действующего на основании ____________________, с другой стороны, вместе и по отдельности именуемые в даль</w:t>
      </w:r>
      <w:r>
        <w:rPr>
          <w:rFonts w:ascii="Times New Roman" w:eastAsia="MS Mincho" w:hAnsi="Times New Roman" w:cs="Times New Roman"/>
          <w:sz w:val="24"/>
          <w:szCs w:val="24"/>
        </w:rPr>
        <w:softHyphen/>
        <w:t>нейшем соответственно «СТОРОНЫ» и «СТОРОНА», за</w:t>
      </w:r>
      <w:r w:rsidR="00F73A34">
        <w:rPr>
          <w:rFonts w:ascii="Times New Roman" w:eastAsia="MS Mincho" w:hAnsi="Times New Roman" w:cs="Times New Roman"/>
          <w:sz w:val="24"/>
          <w:szCs w:val="24"/>
        </w:rPr>
        <w:t>ключили настоящее Приложение № 2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к Договору </w:t>
      </w:r>
      <w:r>
        <w:rPr>
          <w:rFonts w:ascii="Times New Roman" w:hAnsi="Times New Roman" w:cs="Times New Roman"/>
          <w:sz w:val="24"/>
          <w:szCs w:val="24"/>
        </w:rPr>
        <w:t>№_____ от «___»________________202_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(далее – ДОГОВОР) о нижеследующем:</w:t>
      </w: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исполнении обязательств, предусмотренных ДОГОВОРОМ, </w:t>
      </w:r>
      <w:r w:rsidR="0043559B">
        <w:rPr>
          <w:rFonts w:ascii="Times New Roman" w:hAnsi="Times New Roman" w:cs="Times New Roman"/>
          <w:sz w:val="24"/>
          <w:szCs w:val="24"/>
        </w:rPr>
        <w:t>Покупатель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обязуется соблюдать требования локальных нормативных документов ПАО «НК «Роснефть», ПАО «Удмуртнефть» им. В.И. Кудинова, ООО «Удмуртэнергонефть» (далее - ЛНД), переданных в соответствии с настоящим Приложением.</w:t>
      </w: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ЛНД оформляется Актом приема-передачи ЛНД по форме Приложения А к настоящему Приложению, который подписывается Сторонами в 2 (двух) экземплярах (по одному экземпляру для каждой из СТОРОН).</w:t>
      </w: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="00AC3A15" w:rsidRPr="00AC3A15">
        <w:rPr>
          <w:rFonts w:ascii="Times New Roman" w:hAnsi="Times New Roman" w:cs="Times New Roman"/>
          <w:sz w:val="24"/>
          <w:szCs w:val="24"/>
        </w:rPr>
        <w:t>energo2@ud</w:t>
      </w:r>
      <w:r w:rsidR="00AC3A15" w:rsidRPr="00AC3A15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AC3A15" w:rsidRPr="00AC3A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C3A15" w:rsidRPr="00AC3A15">
        <w:rPr>
          <w:rFonts w:ascii="Times New Roman" w:hAnsi="Times New Roman" w:cs="Times New Roman"/>
          <w:sz w:val="24"/>
          <w:szCs w:val="24"/>
          <w:lang w:val="en-US"/>
        </w:rPr>
        <w:t>rosneft</w:t>
      </w:r>
      <w:proofErr w:type="spellEnd"/>
      <w:r w:rsidR="00AC3A15" w:rsidRPr="00AC3A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C3A15" w:rsidRPr="00AC3A15"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C3A15" w:rsidRPr="00AC3A15">
        <w:rPr>
          <w:rFonts w:ascii="Times New Roman" w:hAnsi="Times New Roman" w:cs="Times New Roman"/>
          <w:sz w:val="24"/>
          <w:szCs w:val="24"/>
        </w:rPr>
        <w:t xml:space="preserve"> </w:t>
      </w:r>
      <w:r w:rsidR="00B974D1">
        <w:rPr>
          <w:rFonts w:ascii="Times New Roman" w:hAnsi="Times New Roman" w:cs="Times New Roman"/>
          <w:sz w:val="24"/>
          <w:szCs w:val="24"/>
          <w:lang w:val="en-US"/>
        </w:rPr>
        <w:t>YA</w:t>
      </w:r>
      <w:r w:rsidR="00B974D1" w:rsidRPr="00B974D1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B974D1">
        <w:rPr>
          <w:rFonts w:ascii="Times New Roman" w:hAnsi="Times New Roman" w:cs="Times New Roman"/>
          <w:sz w:val="24"/>
          <w:szCs w:val="24"/>
          <w:lang w:val="en-US"/>
        </w:rPr>
        <w:t>Fayzullin</w:t>
      </w:r>
      <w:proofErr w:type="spellEnd"/>
      <w:r w:rsidR="00AC3A15" w:rsidRPr="00AC3A15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AC3A15" w:rsidRPr="00AC3A15">
        <w:rPr>
          <w:rFonts w:ascii="Times New Roman" w:hAnsi="Times New Roman" w:cs="Times New Roman"/>
          <w:sz w:val="24"/>
          <w:szCs w:val="24"/>
        </w:rPr>
        <w:t>udn</w:t>
      </w:r>
      <w:proofErr w:type="spellEnd"/>
      <w:r w:rsidR="00AC3A15" w:rsidRPr="00AC3A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C3A15" w:rsidRPr="00AC3A15">
        <w:rPr>
          <w:rFonts w:ascii="Times New Roman" w:hAnsi="Times New Roman" w:cs="Times New Roman"/>
          <w:sz w:val="24"/>
          <w:szCs w:val="24"/>
          <w:lang w:val="en-US"/>
        </w:rPr>
        <w:t>rosneft</w:t>
      </w:r>
      <w:proofErr w:type="spellEnd"/>
      <w:r w:rsidR="00AC3A15" w:rsidRPr="00AC3A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C3A15" w:rsidRPr="00AC3A15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="00AC3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со стороны </w:t>
      </w:r>
      <w:r w:rsidR="0043559B">
        <w:rPr>
          <w:rFonts w:ascii="Times New Roman" w:hAnsi="Times New Roman" w:cs="Times New Roman"/>
          <w:sz w:val="24"/>
          <w:szCs w:val="24"/>
        </w:rPr>
        <w:t>Продавца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AC3A15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- со стороны </w:t>
      </w:r>
      <w:r w:rsidR="0043559B">
        <w:rPr>
          <w:rFonts w:ascii="Times New Roman" w:hAnsi="Times New Roman" w:cs="Times New Roman"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соглашаются, что </w:t>
      </w:r>
      <w:r w:rsidR="0043559B">
        <w:rPr>
          <w:rFonts w:ascii="Times New Roman" w:hAnsi="Times New Roman" w:cs="Times New Roman"/>
          <w:sz w:val="24"/>
          <w:szCs w:val="24"/>
        </w:rPr>
        <w:t>Продавец</w:t>
      </w:r>
      <w:r>
        <w:rPr>
          <w:rFonts w:ascii="Times New Roman" w:hAnsi="Times New Roman" w:cs="Times New Roman"/>
          <w:sz w:val="24"/>
          <w:szCs w:val="24"/>
        </w:rPr>
        <w:t xml:space="preserve"> 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43559B">
        <w:rPr>
          <w:rFonts w:ascii="Times New Roman" w:hAnsi="Times New Roman" w:cs="Times New Roman"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 xml:space="preserve"> по Акту приема-передачи ЛНД без заключения дополнительного соглашения к ДОГОВОРУ.</w:t>
      </w: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подлежащих соблюдению </w:t>
      </w:r>
      <w:r w:rsidR="0043559B">
        <w:rPr>
          <w:rFonts w:ascii="Times New Roman" w:hAnsi="Times New Roman" w:cs="Times New Roman"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43559B">
        <w:rPr>
          <w:rFonts w:ascii="Times New Roman" w:hAnsi="Times New Roman" w:cs="Times New Roman"/>
          <w:sz w:val="24"/>
          <w:szCs w:val="24"/>
        </w:rPr>
        <w:t>Продавец</w:t>
      </w:r>
      <w:r>
        <w:rPr>
          <w:rFonts w:ascii="Times New Roman" w:hAnsi="Times New Roman" w:cs="Times New Roman"/>
          <w:sz w:val="24"/>
          <w:szCs w:val="24"/>
        </w:rPr>
        <w:t xml:space="preserve"> вправе уведомить об этом </w:t>
      </w:r>
      <w:r w:rsidR="0043559B">
        <w:rPr>
          <w:rFonts w:ascii="Times New Roman" w:hAnsi="Times New Roman" w:cs="Times New Roman"/>
          <w:sz w:val="24"/>
          <w:szCs w:val="24"/>
        </w:rPr>
        <w:t>Покупателя</w:t>
      </w:r>
      <w:r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письмом, составленным по форме Приложения Б к настоящему Приложению.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43559B">
        <w:rPr>
          <w:rFonts w:ascii="Times New Roman" w:hAnsi="Times New Roman" w:cs="Times New Roman"/>
          <w:sz w:val="24"/>
          <w:szCs w:val="24"/>
        </w:rPr>
        <w:t>Покупателем</w:t>
      </w:r>
      <w:r>
        <w:rPr>
          <w:rFonts w:ascii="Times New Roman" w:hAnsi="Times New Roman" w:cs="Times New Roman"/>
          <w:sz w:val="24"/>
          <w:szCs w:val="24"/>
        </w:rPr>
        <w:t>. Подписание Акта приема-передачи ЛНД в таких случаях не требуется.</w:t>
      </w: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43559B">
        <w:rPr>
          <w:rFonts w:ascii="Times New Roman" w:hAnsi="Times New Roman" w:cs="Times New Roman"/>
          <w:sz w:val="24"/>
          <w:szCs w:val="24"/>
        </w:rPr>
        <w:t>Продавца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6032" w:rsidRDefault="0043559B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>оставляет за собой право определения способа передачи копий ЛНД из следующих возможных:</w:t>
      </w:r>
    </w:p>
    <w:p w:rsidR="00626032" w:rsidRDefault="00CA3F41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626032" w:rsidRDefault="00CA3F41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электронного носителя</w:t>
      </w:r>
      <w:r>
        <w:rPr>
          <w:rStyle w:val="ab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>, содержащего электронные копии ЛНД, защищённые от изменения;</w:t>
      </w:r>
    </w:p>
    <w:p w:rsidR="00626032" w:rsidRDefault="00CA3F41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626032" w:rsidRDefault="00CA3F41">
      <w:pPr>
        <w:pStyle w:val="a3"/>
        <w:numPr>
          <w:ilvl w:val="1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временного доступа работникам </w:t>
      </w:r>
      <w:r w:rsidR="0043559B">
        <w:rPr>
          <w:rFonts w:ascii="Times New Roman" w:hAnsi="Times New Roman" w:cs="Times New Roman"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 xml:space="preserve"> 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43559B">
        <w:rPr>
          <w:rFonts w:ascii="Times New Roman" w:hAnsi="Times New Roman" w:cs="Times New Roman"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43559B">
        <w:rPr>
          <w:rFonts w:ascii="Times New Roman" w:hAnsi="Times New Roman" w:cs="Times New Roman"/>
          <w:sz w:val="24"/>
          <w:szCs w:val="24"/>
        </w:rPr>
        <w:t>Покупатель</w:t>
      </w:r>
      <w:r>
        <w:rPr>
          <w:rFonts w:ascii="Times New Roman" w:hAnsi="Times New Roman" w:cs="Times New Roman"/>
          <w:sz w:val="24"/>
          <w:szCs w:val="24"/>
        </w:rPr>
        <w:t xml:space="preserve"> 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настоящего Приложения.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626032" w:rsidRDefault="00940F3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 xml:space="preserve">осведомлён, что ЛНД, к которым </w:t>
      </w: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sz w:val="24"/>
          <w:szCs w:val="24"/>
        </w:rPr>
        <w:t xml:space="preserve"> получит доступ, являются объектом авторских прав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="00CA3F41">
        <w:rPr>
          <w:rFonts w:ascii="Times New Roman" w:hAnsi="Times New Roman" w:cs="Times New Roman"/>
          <w:sz w:val="24"/>
          <w:szCs w:val="24"/>
        </w:rPr>
        <w:t xml:space="preserve"> 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настоящего Приложения), а также работникам </w:t>
      </w:r>
      <w:r>
        <w:rPr>
          <w:rFonts w:ascii="Times New Roman" w:hAnsi="Times New Roman" w:cs="Times New Roman"/>
          <w:sz w:val="24"/>
          <w:szCs w:val="24"/>
        </w:rPr>
        <w:t>Покупателя</w:t>
      </w:r>
      <w:r w:rsidR="00CA3F41">
        <w:rPr>
          <w:rFonts w:ascii="Times New Roman" w:hAnsi="Times New Roman" w:cs="Times New Roman"/>
          <w:sz w:val="24"/>
          <w:szCs w:val="24"/>
        </w:rPr>
        <w:t>, в чьи должностные обязанности не входит исполнение обязанностей по настоящему ДОГОВОРУ.</w:t>
      </w:r>
    </w:p>
    <w:p w:rsidR="00626032" w:rsidRDefault="00940F3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sz w:val="24"/>
          <w:szCs w:val="24"/>
        </w:rPr>
        <w:t xml:space="preserve"> обязуется не копировать, не тиражировать полученные ЛНД без письменного разрешения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="00CA3F41">
        <w:rPr>
          <w:rFonts w:ascii="Times New Roman" w:hAnsi="Times New Roman" w:cs="Times New Roman"/>
          <w:sz w:val="24"/>
          <w:szCs w:val="24"/>
        </w:rPr>
        <w:t>,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 xml:space="preserve"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настоящего Приложения)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hAnsi="Times New Roman" w:cs="Times New Roman"/>
          <w:sz w:val="24"/>
          <w:szCs w:val="24"/>
        </w:rPr>
        <w:t>Покупателя</w:t>
      </w:r>
      <w:r w:rsidR="00CA3F41">
        <w:rPr>
          <w:rFonts w:ascii="Times New Roman" w:hAnsi="Times New Roman" w:cs="Times New Roman"/>
          <w:sz w:val="24"/>
          <w:szCs w:val="24"/>
        </w:rPr>
        <w:t>, задействованными в исполнении ДОГОВОРА.</w:t>
      </w:r>
    </w:p>
    <w:p w:rsidR="00626032" w:rsidRDefault="00940F3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626032" w:rsidRDefault="00940F3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="00CA3F41">
        <w:rPr>
          <w:rFonts w:ascii="Times New Roman" w:hAnsi="Times New Roman" w:cs="Times New Roman"/>
          <w:sz w:val="24"/>
          <w:szCs w:val="24"/>
        </w:rPr>
        <w:t xml:space="preserve"> и иной информации, ставшей работникам известной при исполнении обязательств по настоящему ДОГОВОРУ,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 xml:space="preserve">до предоставления им доступа к содержанию ЛНД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="00CA3F41">
        <w:rPr>
          <w:rFonts w:ascii="Times New Roman" w:hAnsi="Times New Roman" w:cs="Times New Roman"/>
          <w:sz w:val="24"/>
          <w:szCs w:val="24"/>
        </w:rPr>
        <w:t>.</w:t>
      </w: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требований ЛНД Стороны признают существенным условием ДОГОВОРА и в случае нарушения </w:t>
      </w:r>
      <w:r w:rsidR="00940F30">
        <w:rPr>
          <w:rFonts w:ascii="Times New Roman" w:hAnsi="Times New Roman" w:cs="Times New Roman"/>
          <w:sz w:val="24"/>
          <w:szCs w:val="24"/>
        </w:rPr>
        <w:t>Покупателем</w:t>
      </w:r>
      <w:r>
        <w:rPr>
          <w:rFonts w:ascii="Times New Roman" w:hAnsi="Times New Roman" w:cs="Times New Roman"/>
          <w:sz w:val="24"/>
          <w:szCs w:val="24"/>
        </w:rPr>
        <w:t xml:space="preserve"> требований любого из переданных ЛНД </w:t>
      </w:r>
      <w:r w:rsidR="00940F30">
        <w:rPr>
          <w:rFonts w:ascii="Times New Roman" w:hAnsi="Times New Roman" w:cs="Times New Roman"/>
          <w:sz w:val="24"/>
          <w:szCs w:val="24"/>
        </w:rPr>
        <w:t xml:space="preserve">Продавца </w:t>
      </w:r>
      <w:r>
        <w:rPr>
          <w:rFonts w:ascii="Times New Roman" w:hAnsi="Times New Roman" w:cs="Times New Roman"/>
          <w:sz w:val="24"/>
          <w:szCs w:val="24"/>
        </w:rPr>
        <w:t xml:space="preserve">имеет право требовать от </w:t>
      </w:r>
      <w:r w:rsidR="00940F30">
        <w:rPr>
          <w:rFonts w:ascii="Times New Roman" w:hAnsi="Times New Roman" w:cs="Times New Roman"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 xml:space="preserve"> уплаты штрафа в размере 5000 (пять тысяч) 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неоднократного нарушения </w:t>
      </w:r>
      <w:r w:rsidR="00940F30">
        <w:rPr>
          <w:rFonts w:ascii="Times New Roman" w:hAnsi="Times New Roman" w:cs="Times New Roman"/>
          <w:sz w:val="24"/>
          <w:szCs w:val="24"/>
        </w:rPr>
        <w:t>Покупателем</w:t>
      </w:r>
      <w:r>
        <w:rPr>
          <w:rFonts w:ascii="Times New Roman" w:hAnsi="Times New Roman" w:cs="Times New Roman"/>
          <w:sz w:val="24"/>
          <w:szCs w:val="24"/>
        </w:rPr>
        <w:t xml:space="preserve"> требований любого из переданных ЛНД </w:t>
      </w:r>
      <w:r w:rsidR="00940F30">
        <w:rPr>
          <w:rFonts w:ascii="Times New Roman" w:hAnsi="Times New Roman" w:cs="Times New Roman"/>
          <w:sz w:val="24"/>
          <w:szCs w:val="24"/>
        </w:rPr>
        <w:t>Продавец</w:t>
      </w:r>
      <w:r>
        <w:rPr>
          <w:rFonts w:ascii="Times New Roman" w:hAnsi="Times New Roman" w:cs="Times New Roman"/>
          <w:sz w:val="24"/>
          <w:szCs w:val="24"/>
        </w:rPr>
        <w:t xml:space="preserve"> 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940F30">
        <w:rPr>
          <w:rFonts w:ascii="Times New Roman" w:hAnsi="Times New Roman" w:cs="Times New Roman"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 xml:space="preserve">, причиненных прекращением Договора, письменно уведомив об этом </w:t>
      </w:r>
      <w:r w:rsidR="00940F30">
        <w:rPr>
          <w:rFonts w:ascii="Times New Roman" w:hAnsi="Times New Roman" w:cs="Times New Roman"/>
          <w:sz w:val="24"/>
          <w:szCs w:val="24"/>
        </w:rPr>
        <w:t>Покупателя</w:t>
      </w:r>
      <w:r>
        <w:rPr>
          <w:rFonts w:ascii="Times New Roman" w:hAnsi="Times New Roman" w:cs="Times New Roman"/>
          <w:sz w:val="24"/>
          <w:szCs w:val="24"/>
        </w:rPr>
        <w:t xml:space="preserve"> не менее чем за 20 (двадцать) календарных дня до предполагаемой даты прекращения Договора.</w:t>
      </w:r>
    </w:p>
    <w:p w:rsidR="00626032" w:rsidRDefault="00940F3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Покупатель</w:t>
      </w:r>
      <w:r w:rsidR="00CA3F41">
        <w:rPr>
          <w:rFonts w:ascii="Times New Roman" w:hAnsi="Times New Roman" w:cs="Times New Roman"/>
          <w:sz w:val="24"/>
          <w:szCs w:val="24"/>
        </w:rPr>
        <w:t xml:space="preserve"> обязуется возместить в полном объеме имущественные потери, возникшие у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="00CA3F41">
        <w:rPr>
          <w:rFonts w:ascii="Times New Roman" w:hAnsi="Times New Roman" w:cs="Times New Roman"/>
          <w:sz w:val="24"/>
          <w:szCs w:val="24"/>
        </w:rPr>
        <w:t xml:space="preserve"> в связи с неисполнением и (или) ненадлежащим исполнением </w:t>
      </w:r>
      <w:r>
        <w:rPr>
          <w:rFonts w:ascii="Times New Roman" w:hAnsi="Times New Roman" w:cs="Times New Roman"/>
          <w:sz w:val="24"/>
          <w:szCs w:val="24"/>
        </w:rPr>
        <w:t>Покупателем</w:t>
      </w:r>
      <w:r w:rsidR="00CA3F4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3F41">
        <w:rPr>
          <w:rFonts w:ascii="Times New Roman" w:hAnsi="Times New Roman" w:cs="Times New Roman"/>
          <w:sz w:val="24"/>
          <w:szCs w:val="24"/>
        </w:rPr>
        <w:t>требований</w:t>
      </w:r>
      <w:proofErr w:type="gramEnd"/>
      <w:r w:rsidR="00CA3F41">
        <w:rPr>
          <w:rFonts w:ascii="Times New Roman" w:hAnsi="Times New Roman" w:cs="Times New Roman"/>
          <w:sz w:val="24"/>
          <w:szCs w:val="24"/>
        </w:rPr>
        <w:t xml:space="preserve"> переданных ЛНД, а также в связи с нарушением обязательств, предусмотренных пунктом 10 настоящего Приложения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:rsidR="00626032" w:rsidRDefault="00940F30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sz w:val="24"/>
          <w:szCs w:val="24"/>
        </w:rPr>
        <w:t xml:space="preserve"> в случае привлечения в порядке, предусмотренном Договором, для исполнения обязательств по Договору СУБИСПОЛНИТЕЛЕЙ обязан включить в заключаемые с ними договоры условия, предусмотренные настоящим Приложением, в том числе о необходимости соблюдения требован</w:t>
      </w:r>
      <w:r w:rsidR="009C1647">
        <w:rPr>
          <w:rFonts w:ascii="Times New Roman" w:hAnsi="Times New Roman" w:cs="Times New Roman"/>
          <w:sz w:val="24"/>
          <w:szCs w:val="24"/>
        </w:rPr>
        <w:t xml:space="preserve">ий ЛНД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="009C1647">
        <w:rPr>
          <w:rFonts w:ascii="Times New Roman" w:hAnsi="Times New Roman" w:cs="Times New Roman"/>
          <w:sz w:val="24"/>
          <w:szCs w:val="24"/>
        </w:rPr>
        <w:t xml:space="preserve"> и обеспечении </w:t>
      </w:r>
      <w:r w:rsidR="00CA3F41">
        <w:rPr>
          <w:rFonts w:ascii="Times New Roman" w:hAnsi="Times New Roman" w:cs="Times New Roman"/>
          <w:sz w:val="24"/>
          <w:szCs w:val="24"/>
        </w:rPr>
        <w:t>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СУБИСПОЛНИТЕЛЯМИ.</w:t>
      </w:r>
    </w:p>
    <w:p w:rsidR="00626032" w:rsidRDefault="00CA3F41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626032" w:rsidRDefault="0062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032" w:rsidRDefault="00940F30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Продавец</w:t>
      </w:r>
      <w:r w:rsidR="00CA3F41">
        <w:rPr>
          <w:rFonts w:ascii="Times New Roman" w:hAnsi="Times New Roman" w:cs="Times New Roman"/>
          <w:b/>
          <w:sz w:val="24"/>
          <w:szCs w:val="24"/>
        </w:rPr>
        <w:t>:</w:t>
      </w:r>
      <w:r w:rsidR="00CA3F4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b/>
          <w:sz w:val="24"/>
          <w:szCs w:val="24"/>
        </w:rPr>
        <w:t>:</w:t>
      </w:r>
    </w:p>
    <w:p w:rsidR="00626032" w:rsidRDefault="00CA3F41" w:rsidP="00940F30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«Удмуртэнергонефть»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26032" w:rsidRDefault="00CA3F4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</w:t>
      </w:r>
    </w:p>
    <w:p w:rsidR="00626032" w:rsidRDefault="00626032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6032" w:rsidRDefault="00626032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6032" w:rsidRDefault="00CA3F4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______________/ И.Л. Беляев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______________/ ______________</w:t>
      </w:r>
    </w:p>
    <w:p w:rsidR="00626032" w:rsidRDefault="00CA3F4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26032" w:rsidRDefault="00626032">
      <w:pPr>
        <w:pStyle w:val="a8"/>
        <w:widowControl w:val="0"/>
        <w:spacing w:before="0" w:beforeAutospacing="0" w:after="0" w:afterAutospacing="0"/>
        <w:jc w:val="center"/>
        <w:rPr>
          <w:b/>
        </w:rPr>
      </w:pP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26032">
          <w:pgSz w:w="11906" w:h="16838"/>
          <w:pgMar w:top="851" w:right="851" w:bottom="851" w:left="1134" w:header="709" w:footer="709" w:gutter="0"/>
          <w:cols w:space="708"/>
          <w:titlePg/>
          <w:docGrid w:linePitch="360"/>
        </w:sectPr>
      </w:pPr>
    </w:p>
    <w:p w:rsidR="00626032" w:rsidRPr="004B67FF" w:rsidRDefault="00CA3F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67FF">
        <w:rPr>
          <w:rFonts w:ascii="Times New Roman" w:hAnsi="Times New Roman" w:cs="Times New Roman"/>
          <w:sz w:val="24"/>
          <w:szCs w:val="24"/>
        </w:rPr>
        <w:lastRenderedPageBreak/>
        <w:t>Приложение А</w:t>
      </w:r>
    </w:p>
    <w:p w:rsidR="00626032" w:rsidRPr="004B67FF" w:rsidRDefault="00991C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67FF">
        <w:rPr>
          <w:rFonts w:ascii="Times New Roman" w:hAnsi="Times New Roman" w:cs="Times New Roman"/>
          <w:sz w:val="24"/>
          <w:szCs w:val="24"/>
        </w:rPr>
        <w:t>к Приложению № 2</w:t>
      </w:r>
      <w:r w:rsidR="00CA3F41" w:rsidRPr="004B6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7FF" w:rsidRDefault="00CA3F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67FF">
        <w:rPr>
          <w:rFonts w:ascii="Times New Roman" w:hAnsi="Times New Roman" w:cs="Times New Roman"/>
          <w:sz w:val="24"/>
          <w:szCs w:val="24"/>
        </w:rPr>
        <w:t xml:space="preserve">к </w:t>
      </w:r>
      <w:r w:rsidR="004B67FF" w:rsidRPr="004B67FF">
        <w:rPr>
          <w:rFonts w:ascii="Times New Roman" w:hAnsi="Times New Roman" w:cs="Times New Roman"/>
          <w:sz w:val="24"/>
          <w:szCs w:val="24"/>
        </w:rPr>
        <w:t>Д</w:t>
      </w:r>
      <w:r w:rsidRPr="004B67FF">
        <w:rPr>
          <w:rFonts w:ascii="Times New Roman" w:hAnsi="Times New Roman" w:cs="Times New Roman"/>
          <w:sz w:val="24"/>
          <w:szCs w:val="24"/>
        </w:rPr>
        <w:t xml:space="preserve">оговору </w:t>
      </w:r>
      <w:r w:rsidR="004B67FF">
        <w:rPr>
          <w:rFonts w:ascii="Times New Roman" w:hAnsi="Times New Roman" w:cs="Times New Roman"/>
          <w:sz w:val="24"/>
          <w:szCs w:val="24"/>
        </w:rPr>
        <w:t>купли-продажи лома</w:t>
      </w:r>
    </w:p>
    <w:p w:rsidR="00626032" w:rsidRPr="004B67FF" w:rsidRDefault="004B67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цветных и черных металлов</w:t>
      </w:r>
    </w:p>
    <w:p w:rsidR="00626032" w:rsidRDefault="00CA3F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№_____ от «__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_______________202_</w:t>
      </w: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66675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989DBA" id="Прямая соединительная линия 1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55pt,5.25pt" to="501.3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" strokecolor="#4579b8 [3044]" strokeweight="1.5pt"/>
            </w:pict>
          </mc:Fallback>
        </mc:AlternateContent>
      </w:r>
    </w:p>
    <w:p w:rsidR="00626032" w:rsidRDefault="00CA3F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 ПРИЕМА-ПЕРЕДАЧИ</w:t>
      </w:r>
    </w:p>
    <w:p w:rsidR="00626032" w:rsidRDefault="00CA3F4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ЛОКАЛЬНЫХ НОРМАТИВНЫХ ДОКУМЕНТОВ</w:t>
      </w:r>
    </w:p>
    <w:p w:rsidR="00626032" w:rsidRDefault="0062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032" w:rsidRDefault="00CA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pacing w:val="-2"/>
          <w:sz w:val="24"/>
          <w:szCs w:val="24"/>
        </w:rPr>
        <w:t>ООО «Удмуртэнергонефть»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  <w:r>
        <w:rPr>
          <w:rFonts w:ascii="Times New Roman" w:eastAsia="MS Mincho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MS Mincho" w:hAnsi="Times New Roman" w:cs="Times New Roman"/>
          <w:sz w:val="24"/>
          <w:szCs w:val="24"/>
        </w:rPr>
        <w:t>именуемое в дальнейшем «</w:t>
      </w:r>
      <w:r w:rsidR="00A87954">
        <w:rPr>
          <w:rFonts w:ascii="Times New Roman" w:eastAsia="MS Mincho" w:hAnsi="Times New Roman" w:cs="Times New Roman"/>
          <w:sz w:val="24"/>
          <w:szCs w:val="24"/>
        </w:rPr>
        <w:t>Продавец</w:t>
      </w:r>
      <w:r>
        <w:rPr>
          <w:rFonts w:ascii="Times New Roman" w:eastAsia="MS Mincho" w:hAnsi="Times New Roman" w:cs="Times New Roman"/>
          <w:sz w:val="24"/>
          <w:szCs w:val="24"/>
        </w:rPr>
        <w:t>», в лице Директора И.Л. Беляева, дей</w:t>
      </w:r>
      <w:r>
        <w:rPr>
          <w:rFonts w:ascii="Times New Roman" w:eastAsia="MS Mincho" w:hAnsi="Times New Roman" w:cs="Times New Roman"/>
          <w:sz w:val="24"/>
          <w:szCs w:val="24"/>
        </w:rPr>
        <w:softHyphen/>
        <w:t>ствующего на основании Устава, с одной стороны и ____________________, именуемое в даль</w:t>
      </w:r>
      <w:r>
        <w:rPr>
          <w:rFonts w:ascii="Times New Roman" w:eastAsia="MS Mincho" w:hAnsi="Times New Roman" w:cs="Times New Roman"/>
          <w:sz w:val="24"/>
          <w:szCs w:val="24"/>
        </w:rPr>
        <w:softHyphen/>
        <w:t>нейшем «</w:t>
      </w:r>
      <w:r w:rsidR="00A87954">
        <w:rPr>
          <w:rFonts w:ascii="Times New Roman" w:eastAsia="MS Mincho" w:hAnsi="Times New Roman" w:cs="Times New Roman"/>
          <w:sz w:val="24"/>
          <w:szCs w:val="24"/>
        </w:rPr>
        <w:t>Покупатель</w:t>
      </w:r>
      <w:r>
        <w:rPr>
          <w:rFonts w:ascii="Times New Roman" w:eastAsia="MS Mincho" w:hAnsi="Times New Roman" w:cs="Times New Roman"/>
          <w:sz w:val="24"/>
          <w:szCs w:val="24"/>
        </w:rPr>
        <w:t>», в лице ____________________, действующего на основании ____________________, с другой стороны</w:t>
      </w:r>
      <w:r>
        <w:rPr>
          <w:rFonts w:ascii="Times New Roman" w:hAnsi="Times New Roman" w:cs="Times New Roman"/>
          <w:sz w:val="24"/>
          <w:szCs w:val="24"/>
        </w:rPr>
        <w:t>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032" w:rsidRPr="003B77AC" w:rsidRDefault="00A879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 xml:space="preserve">передает, а </w:t>
      </w: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>принимает в целях ознакомления и последующего соблюдения при исполнении обязательств по договору №_____ от «__</w:t>
      </w:r>
      <w:proofErr w:type="gramStart"/>
      <w:r w:rsidR="00CA3F4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CA3F41">
        <w:rPr>
          <w:rFonts w:ascii="Times New Roman" w:hAnsi="Times New Roman" w:cs="Times New Roman"/>
          <w:sz w:val="24"/>
          <w:szCs w:val="24"/>
        </w:rPr>
        <w:t xml:space="preserve">_______________202_ (далее – Договор) копии следующих локальных нормативных документов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="00CA3F41">
        <w:rPr>
          <w:rFonts w:ascii="Times New Roman" w:hAnsi="Times New Roman" w:cs="Times New Roman"/>
          <w:sz w:val="24"/>
          <w:szCs w:val="24"/>
        </w:rPr>
        <w:t xml:space="preserve"> (далее – ЛНД):</w:t>
      </w:r>
    </w:p>
    <w:p w:rsidR="00CA3F41" w:rsidRPr="003B77AC" w:rsidRDefault="00CA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0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3375"/>
        <w:gridCol w:w="1662"/>
        <w:gridCol w:w="2663"/>
        <w:gridCol w:w="1677"/>
      </w:tblGrid>
      <w:tr w:rsidR="00AF22AF" w:rsidTr="007A21A7">
        <w:trPr>
          <w:trHeight w:val="652"/>
          <w:jc w:val="center"/>
        </w:trPr>
        <w:tc>
          <w:tcPr>
            <w:tcW w:w="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F22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F22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Вид и наименование ЛНД</w:t>
            </w:r>
          </w:p>
        </w:tc>
        <w:tc>
          <w:tcPr>
            <w:tcW w:w="1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F22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ЛНД, версия</w:t>
            </w:r>
          </w:p>
        </w:tc>
        <w:tc>
          <w:tcPr>
            <w:tcW w:w="2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F22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Реквизиты утверждающего распорядительного документа</w:t>
            </w:r>
          </w:p>
        </w:tc>
        <w:tc>
          <w:tcPr>
            <w:tcW w:w="167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F22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Содержит информацию конфиденциального характера (да/нет)</w:t>
            </w:r>
          </w:p>
        </w:tc>
      </w:tr>
      <w:tr w:rsidR="00AF22AF" w:rsidTr="007A21A7">
        <w:trPr>
          <w:trHeight w:val="652"/>
          <w:jc w:val="center"/>
        </w:trPr>
        <w:tc>
          <w:tcPr>
            <w:tcW w:w="53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F22AF" w:rsidRPr="000F10DE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F10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3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F22AF" w:rsidRPr="000F10DE" w:rsidRDefault="000F10DE" w:rsidP="007A21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10DE">
              <w:rPr>
                <w:rFonts w:ascii="Times New Roman" w:hAnsi="Times New Roman" w:cs="Times New Roman"/>
                <w:sz w:val="20"/>
                <w:szCs w:val="20"/>
              </w:rPr>
              <w:t>Политика ПАО «НК «Роснефть» «В области промышленной безопасности, охраны труда и окружающей среды»</w:t>
            </w:r>
          </w:p>
        </w:tc>
        <w:tc>
          <w:tcPr>
            <w:tcW w:w="166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0F10DE" w:rsidRPr="000F10DE" w:rsidRDefault="000F10DE" w:rsidP="000F1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DE">
              <w:rPr>
                <w:rFonts w:ascii="Times New Roman" w:hAnsi="Times New Roman" w:cs="Times New Roman"/>
                <w:sz w:val="20"/>
                <w:szCs w:val="20"/>
              </w:rPr>
              <w:t>№ П3-05 П-11</w:t>
            </w:r>
          </w:p>
          <w:p w:rsidR="00AF22AF" w:rsidRPr="006436AF" w:rsidRDefault="000F10DE" w:rsidP="000F1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10DE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26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AF22AF" w:rsidRPr="006436AF" w:rsidRDefault="000F10DE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10DE">
              <w:rPr>
                <w:rFonts w:ascii="Times New Roman" w:hAnsi="Times New Roman" w:cs="Times New Roman"/>
                <w:sz w:val="20"/>
                <w:szCs w:val="20"/>
              </w:rPr>
              <w:t>Приказ № 359 от 25.12.2018</w:t>
            </w:r>
          </w:p>
        </w:tc>
        <w:tc>
          <w:tcPr>
            <w:tcW w:w="1677" w:type="dxa"/>
            <w:tcBorders>
              <w:top w:val="single" w:sz="12" w:space="0" w:color="auto"/>
            </w:tcBorders>
            <w:vAlign w:val="center"/>
          </w:tcPr>
          <w:p w:rsidR="00AF22AF" w:rsidRPr="006436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10D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F22AF" w:rsidTr="007A21A7">
        <w:trPr>
          <w:trHeight w:val="652"/>
          <w:jc w:val="center"/>
        </w:trPr>
        <w:tc>
          <w:tcPr>
            <w:tcW w:w="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22AF" w:rsidRPr="006436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22AF" w:rsidRPr="006436AF" w:rsidRDefault="000F10DE" w:rsidP="00C943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10DE">
              <w:rPr>
                <w:rFonts w:ascii="Times New Roman" w:hAnsi="Times New Roman" w:cs="Times New Roman"/>
                <w:sz w:val="20"/>
                <w:szCs w:val="20"/>
              </w:rPr>
              <w:t>Инструкция ПАО «НК «Роснефть» «Золотые правила безопасности труда» и порядок их доведения»</w:t>
            </w:r>
          </w:p>
        </w:tc>
        <w:tc>
          <w:tcPr>
            <w:tcW w:w="1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0F10DE" w:rsidRPr="000F10DE" w:rsidRDefault="000F10DE" w:rsidP="000F1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10DE">
              <w:rPr>
                <w:rFonts w:ascii="Times New Roman" w:hAnsi="Times New Roman" w:cs="Times New Roman"/>
                <w:sz w:val="20"/>
                <w:szCs w:val="20"/>
              </w:rPr>
              <w:t>№ П3-05 И-0016</w:t>
            </w:r>
          </w:p>
          <w:p w:rsidR="00AF22AF" w:rsidRPr="006436AF" w:rsidRDefault="000F10DE" w:rsidP="000F1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10DE">
              <w:rPr>
                <w:rFonts w:ascii="Times New Roman" w:hAnsi="Times New Roman" w:cs="Times New Roman"/>
                <w:sz w:val="20"/>
                <w:szCs w:val="20"/>
              </w:rPr>
              <w:t>версия 2.00</w:t>
            </w:r>
          </w:p>
        </w:tc>
        <w:tc>
          <w:tcPr>
            <w:tcW w:w="2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22AF" w:rsidRPr="006436AF" w:rsidRDefault="00E63E6E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Приказ № 249 от 16.09.2019</w:t>
            </w:r>
          </w:p>
        </w:tc>
        <w:tc>
          <w:tcPr>
            <w:tcW w:w="16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22AF" w:rsidRPr="006436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F22AF" w:rsidTr="007A21A7">
        <w:trPr>
          <w:trHeight w:val="652"/>
          <w:jc w:val="center"/>
        </w:trPr>
        <w:tc>
          <w:tcPr>
            <w:tcW w:w="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22AF" w:rsidRPr="006436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3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22AF" w:rsidRPr="006436AF" w:rsidRDefault="00E63E6E" w:rsidP="007A21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Стандарт ОАО «</w:t>
            </w:r>
            <w:proofErr w:type="spellStart"/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Удмуртнефть</w:t>
            </w:r>
            <w:proofErr w:type="spellEnd"/>
            <w:r w:rsidRPr="00E63E6E">
              <w:rPr>
                <w:rFonts w:ascii="Times New Roman" w:hAnsi="Times New Roman" w:cs="Times New Roman"/>
                <w:sz w:val="20"/>
                <w:szCs w:val="20"/>
              </w:rPr>
              <w:t xml:space="preserve">» «Порядок организации пропускного и </w:t>
            </w:r>
            <w:proofErr w:type="spellStart"/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внутриобъектового</w:t>
            </w:r>
            <w:proofErr w:type="spellEnd"/>
            <w:r w:rsidRPr="00E63E6E">
              <w:rPr>
                <w:rFonts w:ascii="Times New Roman" w:hAnsi="Times New Roman" w:cs="Times New Roman"/>
                <w:sz w:val="20"/>
                <w:szCs w:val="20"/>
              </w:rPr>
              <w:t xml:space="preserve"> режимов на объектах Общества»</w:t>
            </w:r>
          </w:p>
        </w:tc>
        <w:tc>
          <w:tcPr>
            <w:tcW w:w="1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3E6E" w:rsidRPr="00E63E6E" w:rsidRDefault="00E63E6E" w:rsidP="00E63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№ П3-11.01 С-0013</w:t>
            </w:r>
          </w:p>
          <w:p w:rsidR="00AF22AF" w:rsidRPr="006436AF" w:rsidRDefault="00E63E6E" w:rsidP="00E63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версия 5.00</w:t>
            </w:r>
          </w:p>
        </w:tc>
        <w:tc>
          <w:tcPr>
            <w:tcW w:w="2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22AF" w:rsidRPr="006436AF" w:rsidRDefault="00E63E6E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Приказ № 171 от 29.06.2017</w:t>
            </w:r>
          </w:p>
        </w:tc>
        <w:tc>
          <w:tcPr>
            <w:tcW w:w="16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22AF" w:rsidRPr="006436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F22AF" w:rsidTr="007A21A7">
        <w:trPr>
          <w:trHeight w:val="652"/>
          <w:jc w:val="center"/>
        </w:trPr>
        <w:tc>
          <w:tcPr>
            <w:tcW w:w="53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22AF" w:rsidRPr="006436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22AF" w:rsidRPr="006436AF" w:rsidRDefault="00E63E6E" w:rsidP="007A21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Положение ООО «Удмуртэнергонефть» «Система управления безопасной эксплуатацией транспортных средств»</w:t>
            </w:r>
          </w:p>
        </w:tc>
        <w:tc>
          <w:tcPr>
            <w:tcW w:w="166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63E6E" w:rsidRPr="00E63E6E" w:rsidRDefault="00E63E6E" w:rsidP="00E63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№ П3-05 Р-170 УЭН</w:t>
            </w:r>
          </w:p>
          <w:p w:rsidR="00AF22AF" w:rsidRPr="006436AF" w:rsidRDefault="00E63E6E" w:rsidP="00E63E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версия 1.00</w:t>
            </w:r>
          </w:p>
        </w:tc>
        <w:tc>
          <w:tcPr>
            <w:tcW w:w="266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AF22AF" w:rsidRPr="006436AF" w:rsidRDefault="00E63E6E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Приказ № 61 от 26.02.2018</w:t>
            </w:r>
          </w:p>
        </w:tc>
        <w:tc>
          <w:tcPr>
            <w:tcW w:w="16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22AF" w:rsidRPr="006436AF" w:rsidRDefault="00AF22AF" w:rsidP="007A21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63E6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Копии перечисленных ЛНД направлены </w:t>
      </w:r>
      <w:r w:rsidR="00E370B1">
        <w:rPr>
          <w:rFonts w:ascii="Times New Roman" w:hAnsi="Times New Roman" w:cs="Times New Roman"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 xml:space="preserve"> с электронного адреса </w:t>
      </w:r>
      <w:r w:rsidR="006436AF">
        <w:rPr>
          <w:rFonts w:ascii="Times New Roman" w:hAnsi="Times New Roman" w:cs="Times New Roman"/>
          <w:sz w:val="24"/>
          <w:szCs w:val="24"/>
          <w:lang w:val="en-US"/>
        </w:rPr>
        <w:t>YA</w:t>
      </w:r>
      <w:r w:rsidR="006436AF" w:rsidRPr="006436AF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6436AF">
        <w:rPr>
          <w:rFonts w:ascii="Times New Roman" w:hAnsi="Times New Roman" w:cs="Times New Roman"/>
          <w:sz w:val="24"/>
          <w:szCs w:val="24"/>
          <w:lang w:val="en-US"/>
        </w:rPr>
        <w:t>Fayzullin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AC3A15">
        <w:rPr>
          <w:rFonts w:ascii="Times New Roman" w:hAnsi="Times New Roman" w:cs="Times New Roman"/>
          <w:sz w:val="24"/>
          <w:szCs w:val="24"/>
          <w:lang w:val="en-US"/>
        </w:rPr>
        <w:t>udn</w:t>
      </w:r>
      <w:proofErr w:type="spellEnd"/>
      <w:r w:rsidR="00AC3A15" w:rsidRPr="00AC3A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C3A15">
        <w:rPr>
          <w:rFonts w:ascii="Times New Roman" w:hAnsi="Times New Roman" w:cs="Times New Roman"/>
          <w:sz w:val="24"/>
          <w:szCs w:val="24"/>
          <w:lang w:val="en-US"/>
        </w:rPr>
        <w:t>rosneft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электронный адрес </w:t>
      </w:r>
      <w:r w:rsidR="004053E8" w:rsidRPr="004053E8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032" w:rsidRDefault="00E370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>подтверждает, что получил вышеуказанные ЛНД и ознакомлен с ними.</w:t>
      </w:r>
    </w:p>
    <w:p w:rsidR="00626032" w:rsidRDefault="00E370B1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 xml:space="preserve"> </w:t>
      </w:r>
      <w:r w:rsidR="00CA3F41">
        <w:rPr>
          <w:rFonts w:ascii="Times New Roman" w:hAnsi="Times New Roman" w:cs="Times New Roman"/>
          <w:sz w:val="24"/>
          <w:szCs w:val="24"/>
        </w:rPr>
        <w:t>обязуется при исполнении обязательств, предусмотренных Договором, соблюдать требования вышеуказанных ЛНД</w:t>
      </w:r>
      <w:r w:rsidR="00CA3F41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.</w:t>
      </w:r>
    </w:p>
    <w:p w:rsidR="00626032" w:rsidRDefault="00E370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sz w:val="24"/>
          <w:szCs w:val="24"/>
        </w:rPr>
        <w:t xml:space="preserve"> осведомлен, что ЛНД являются объектом авторских прав </w:t>
      </w:r>
      <w:r>
        <w:rPr>
          <w:rFonts w:ascii="Times New Roman" w:hAnsi="Times New Roman" w:cs="Times New Roman"/>
          <w:sz w:val="24"/>
          <w:szCs w:val="24"/>
        </w:rPr>
        <w:t>Продавца</w:t>
      </w:r>
      <w:r w:rsidR="00CA3F41">
        <w:rPr>
          <w:rFonts w:ascii="Times New Roman" w:hAnsi="Times New Roman" w:cs="Times New Roman"/>
          <w:sz w:val="24"/>
          <w:szCs w:val="24"/>
        </w:rPr>
        <w:t xml:space="preserve"> 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hAnsi="Times New Roman" w:cs="Times New Roman"/>
          <w:sz w:val="24"/>
          <w:szCs w:val="24"/>
        </w:rPr>
        <w:t>Покупателя</w:t>
      </w:r>
      <w:r w:rsidR="00CA3F41">
        <w:rPr>
          <w:rFonts w:ascii="Times New Roman" w:hAnsi="Times New Roman" w:cs="Times New Roman"/>
          <w:sz w:val="24"/>
          <w:szCs w:val="24"/>
        </w:rPr>
        <w:t>, не задействованных в исполнении Договора.</w:t>
      </w: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Настоящий Акт составлен в 2-х экземплярах, имеющих равную юридическую силу, по одному экземпляру для каждой из Сторон Договора. </w:t>
      </w:r>
    </w:p>
    <w:p w:rsidR="00D46C5F" w:rsidRPr="00D46C5F" w:rsidRDefault="00D46C5F" w:rsidP="00D46C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032" w:rsidRPr="00D46C5F" w:rsidRDefault="00CA3F41" w:rsidP="00D46C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46C5F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p w:rsidR="00626032" w:rsidRPr="00D46C5F" w:rsidRDefault="00626032" w:rsidP="00D46C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032" w:rsidRDefault="00E370B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Продавец</w:t>
      </w:r>
      <w:r w:rsidR="00CA3F41">
        <w:rPr>
          <w:rFonts w:ascii="Times New Roman" w:hAnsi="Times New Roman" w:cs="Times New Roman"/>
          <w:b/>
          <w:sz w:val="24"/>
          <w:szCs w:val="24"/>
        </w:rPr>
        <w:t>:</w:t>
      </w:r>
      <w:r w:rsidR="00CA3F41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Покупатель</w:t>
      </w:r>
      <w:r w:rsidR="00CA3F41">
        <w:rPr>
          <w:rFonts w:ascii="Times New Roman" w:hAnsi="Times New Roman" w:cs="Times New Roman"/>
          <w:b/>
          <w:sz w:val="24"/>
          <w:szCs w:val="24"/>
        </w:rPr>
        <w:t>:</w:t>
      </w:r>
    </w:p>
    <w:p w:rsidR="00626032" w:rsidRDefault="00CA3F4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«Удмуртэнергонефть»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26032" w:rsidRDefault="0076208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</w:p>
    <w:p w:rsidR="00762081" w:rsidRDefault="0076208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6032" w:rsidRDefault="00CA3F4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______________/ И.Л. Беляев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______________/ ______________</w:t>
      </w:r>
    </w:p>
    <w:p w:rsidR="00626032" w:rsidRDefault="00CA3F4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626032" w:rsidRDefault="00626032">
      <w:pPr>
        <w:pStyle w:val="a8"/>
        <w:widowControl w:val="0"/>
        <w:spacing w:before="0" w:beforeAutospacing="0" w:after="0" w:afterAutospacing="0"/>
        <w:jc w:val="center"/>
        <w:rPr>
          <w:b/>
        </w:rPr>
      </w:pPr>
    </w:p>
    <w:p w:rsidR="00626032" w:rsidRDefault="00CA3F41">
      <w:pPr>
        <w:pStyle w:val="a8"/>
        <w:widowControl w:val="0"/>
        <w:spacing w:before="0" w:beforeAutospacing="0" w:after="0" w:afterAutospacing="0"/>
        <w:jc w:val="center"/>
        <w:rPr>
          <w:b/>
        </w:rPr>
      </w:pPr>
      <w:r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96702</wp:posOffset>
                </wp:positionV>
                <wp:extent cx="6411595" cy="0"/>
                <wp:effectExtent l="0" t="0" r="2730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658F4C" id="Прямая соединительная линия 2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" strokecolor="#4579b8 [3044]" strokeweight="1.5pt"/>
            </w:pict>
          </mc:Fallback>
        </mc:AlternateContent>
      </w:r>
    </w:p>
    <w:p w:rsidR="00626032" w:rsidRDefault="00CA3F41">
      <w:pPr>
        <w:pStyle w:val="a8"/>
        <w:widowControl w:val="0"/>
        <w:spacing w:before="0" w:beforeAutospacing="0" w:after="0" w:afterAutospacing="0"/>
        <w:jc w:val="center"/>
        <w:rPr>
          <w:b/>
        </w:rPr>
      </w:pPr>
      <w:r>
        <w:rPr>
          <w:b/>
        </w:rPr>
        <w:t>ФОРМА СОГЛАСОВАНА. ПОДПИСИ СТОРОН</w:t>
      </w:r>
    </w:p>
    <w:p w:rsidR="00626032" w:rsidRDefault="0062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6032" w:rsidRDefault="00626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081" w:rsidRDefault="00762081" w:rsidP="0076208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Продавец:</w:t>
      </w:r>
      <w:r>
        <w:rPr>
          <w:rFonts w:ascii="Times New Roman" w:hAnsi="Times New Roman" w:cs="Times New Roman"/>
          <w:b/>
          <w:sz w:val="24"/>
          <w:szCs w:val="24"/>
        </w:rPr>
        <w:tab/>
        <w:t>Покупатель:</w:t>
      </w:r>
    </w:p>
    <w:p w:rsidR="00762081" w:rsidRDefault="00762081" w:rsidP="0076208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Удмуртэнергонефть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62081" w:rsidRDefault="00762081" w:rsidP="0076208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</w:p>
    <w:p w:rsidR="00762081" w:rsidRDefault="00762081" w:rsidP="0076208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2081" w:rsidRDefault="00762081" w:rsidP="0076208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______________/ И.Л. Беляев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______________/ ______________</w:t>
      </w:r>
    </w:p>
    <w:p w:rsidR="00762081" w:rsidRDefault="00762081" w:rsidP="00762081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62081" w:rsidRDefault="00762081" w:rsidP="00762081">
      <w:pPr>
        <w:pStyle w:val="a8"/>
        <w:widowControl w:val="0"/>
        <w:spacing w:before="0" w:beforeAutospacing="0" w:after="0" w:afterAutospacing="0"/>
        <w:jc w:val="center"/>
        <w:rPr>
          <w:b/>
        </w:rPr>
      </w:pPr>
    </w:p>
    <w:p w:rsidR="00626032" w:rsidRDefault="00626032">
      <w:pPr>
        <w:pStyle w:val="a8"/>
        <w:widowControl w:val="0"/>
        <w:spacing w:before="0" w:beforeAutospacing="0" w:after="0" w:afterAutospacing="0"/>
        <w:jc w:val="center"/>
        <w:rPr>
          <w:b/>
        </w:rPr>
      </w:pP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626032">
          <w:pgSz w:w="11906" w:h="16838"/>
          <w:pgMar w:top="1134" w:right="851" w:bottom="1134" w:left="1134" w:header="708" w:footer="708" w:gutter="0"/>
          <w:cols w:space="708"/>
          <w:docGrid w:linePitch="360"/>
        </w:sectPr>
      </w:pPr>
    </w:p>
    <w:p w:rsidR="00626032" w:rsidRPr="004B67FF" w:rsidRDefault="00CA3F4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67FF">
        <w:rPr>
          <w:rFonts w:ascii="Times New Roman" w:hAnsi="Times New Roman" w:cs="Times New Roman"/>
          <w:sz w:val="24"/>
          <w:szCs w:val="24"/>
        </w:rPr>
        <w:lastRenderedPageBreak/>
        <w:t>Приложение Б</w:t>
      </w:r>
    </w:p>
    <w:p w:rsidR="00626032" w:rsidRPr="004B67FF" w:rsidRDefault="003A00C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B67FF">
        <w:rPr>
          <w:rFonts w:ascii="Times New Roman" w:hAnsi="Times New Roman" w:cs="Times New Roman"/>
          <w:sz w:val="24"/>
          <w:szCs w:val="24"/>
        </w:rPr>
        <w:t>к Приложению № 2</w:t>
      </w:r>
      <w:r w:rsidR="00CA3F41" w:rsidRPr="004B67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6032" w:rsidRDefault="003D0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Д</w:t>
      </w:r>
      <w:r w:rsidR="00CA3F41" w:rsidRPr="004B67FF">
        <w:rPr>
          <w:rFonts w:ascii="Times New Roman" w:hAnsi="Times New Roman" w:cs="Times New Roman"/>
          <w:sz w:val="24"/>
          <w:szCs w:val="24"/>
        </w:rPr>
        <w:t xml:space="preserve">оговору </w:t>
      </w:r>
      <w:r>
        <w:rPr>
          <w:rFonts w:ascii="Times New Roman" w:hAnsi="Times New Roman" w:cs="Times New Roman"/>
          <w:sz w:val="24"/>
          <w:szCs w:val="24"/>
        </w:rPr>
        <w:t>купли-продажи лома</w:t>
      </w:r>
    </w:p>
    <w:p w:rsidR="003D0EB7" w:rsidRPr="004B67FF" w:rsidRDefault="003D0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цветных и черных металлов</w:t>
      </w:r>
    </w:p>
    <w:p w:rsidR="00626032" w:rsidRDefault="00CA3F4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№_____ от «__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_______________202_</w:t>
      </w:r>
    </w:p>
    <w:p w:rsidR="00626032" w:rsidRDefault="00CA3F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26032" w:rsidRDefault="00CA3F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144145</wp:posOffset>
                </wp:positionV>
                <wp:extent cx="6411595" cy="0"/>
                <wp:effectExtent l="0" t="0" r="27305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EFDD09" id="Прямая соединительная линия 3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" strokecolor="#4579b8 [3044]" strokeweight="1.5pt"/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26032" w:rsidRDefault="00CA3F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62603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626032" w:rsidRDefault="006260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808080" w:themeColor="background1" w:themeShade="80"/>
                <w:sz w:val="24"/>
                <w:szCs w:val="24"/>
              </w:rPr>
            </w:pPr>
          </w:p>
          <w:p w:rsidR="00626032" w:rsidRDefault="00CA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Руководителю Общества</w:t>
            </w:r>
          </w:p>
          <w:p w:rsidR="00626032" w:rsidRDefault="00CA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И.О. Фамилия</w:t>
            </w:r>
          </w:p>
        </w:tc>
      </w:tr>
    </w:tbl>
    <w:p w:rsidR="00626032" w:rsidRDefault="006260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032" w:rsidRDefault="006260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62603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626032" w:rsidRDefault="00CA3F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_________№_____________</w:t>
            </w:r>
          </w:p>
          <w:p w:rsidR="00626032" w:rsidRDefault="00CA3F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№_______от_____________</w:t>
            </w:r>
          </w:p>
        </w:tc>
      </w:tr>
      <w:tr w:rsidR="0062603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626032" w:rsidRDefault="00CA3F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изменении ЛНД, подлежащих исполнению </w:t>
            </w:r>
          </w:p>
          <w:p w:rsidR="00626032" w:rsidRDefault="00CA3F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от ___.__.___ № ______________</w:t>
            </w:r>
          </w:p>
        </w:tc>
      </w:tr>
    </w:tbl>
    <w:p w:rsidR="00626032" w:rsidRDefault="00CA3F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Уважаемый (-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>) Имя, Отчество!</w:t>
      </w:r>
    </w:p>
    <w:p w:rsidR="00626032" w:rsidRDefault="006260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№_____ от «___»________________202_ (далее – Договор).</w:t>
      </w: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61"/>
        <w:gridCol w:w="3092"/>
        <w:gridCol w:w="1844"/>
        <w:gridCol w:w="2127"/>
        <w:gridCol w:w="2408"/>
      </w:tblGrid>
      <w:tr w:rsidR="0062603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6032" w:rsidRDefault="00CA3F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CA3F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26032" w:rsidRDefault="00CA3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032" w:rsidRDefault="00CA3F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CA3F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Реквизиты утверждающего распорядительного документа</w:t>
            </w:r>
          </w:p>
        </w:tc>
      </w:tr>
      <w:tr w:rsidR="0062603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6032" w:rsidRDefault="00CA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62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26032" w:rsidRDefault="0062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032" w:rsidRDefault="00626032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626032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032" w:rsidRDefault="00CA3F4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1"/>
        <w:gridCol w:w="3092"/>
        <w:gridCol w:w="1844"/>
        <w:gridCol w:w="2125"/>
        <w:gridCol w:w="2410"/>
      </w:tblGrid>
      <w:tr w:rsidR="0062603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6032" w:rsidRDefault="00CA3F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CA3F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26032" w:rsidRDefault="00CA3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032" w:rsidRDefault="00CA3F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CA3F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Реквизиты утверждающего распорядительного документа</w:t>
            </w:r>
          </w:p>
        </w:tc>
      </w:tr>
      <w:tr w:rsidR="0062603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6032" w:rsidRDefault="00CA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62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26032" w:rsidRDefault="0062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032" w:rsidRDefault="00626032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626032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032" w:rsidRDefault="00CA3F41">
      <w:pPr>
        <w:pStyle w:val="a3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Утратили силу следующие ЛНД (с даты утраты силы требования об их соблюдении отменяются):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05"/>
        <w:gridCol w:w="3856"/>
        <w:gridCol w:w="1559"/>
        <w:gridCol w:w="1417"/>
        <w:gridCol w:w="2800"/>
      </w:tblGrid>
      <w:tr w:rsidR="0062603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6032" w:rsidRDefault="00CA3F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CA3F4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26032" w:rsidRDefault="00CA3F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032" w:rsidRDefault="00CA3F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CA3F4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62603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6032" w:rsidRDefault="00CA3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62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626032" w:rsidRDefault="006260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032" w:rsidRDefault="00626032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26032" w:rsidRDefault="00626032">
            <w:pPr>
              <w:tabs>
                <w:tab w:val="left" w:pos="213"/>
                <w:tab w:val="center" w:pos="109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</w:p>
    <w:p w:rsidR="00626032" w:rsidRDefault="00CA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Актуальные версии ЛНД направлены </w:t>
      </w:r>
      <w:r w:rsidR="00094BE5">
        <w:rPr>
          <w:rFonts w:ascii="Times New Roman" w:hAnsi="Times New Roman" w:cs="Times New Roman"/>
          <w:sz w:val="24"/>
          <w:szCs w:val="24"/>
        </w:rPr>
        <w:t>Покупателю</w:t>
      </w:r>
      <w:r>
        <w:rPr>
          <w:rFonts w:ascii="Times New Roman" w:hAnsi="Times New Roman" w:cs="Times New Roman"/>
          <w:sz w:val="24"/>
          <w:szCs w:val="24"/>
        </w:rPr>
        <w:t xml:space="preserve"> с электронного адреса </w:t>
      </w:r>
      <w:r w:rsidR="007722E6">
        <w:rPr>
          <w:rFonts w:ascii="Times New Roman" w:hAnsi="Times New Roman" w:cs="Times New Roman"/>
          <w:sz w:val="24"/>
          <w:szCs w:val="24"/>
          <w:lang w:val="en-US"/>
        </w:rPr>
        <w:t>YA</w:t>
      </w:r>
      <w:r w:rsidR="007722E6" w:rsidRPr="007722E6">
        <w:rPr>
          <w:rFonts w:ascii="Times New Roman" w:hAnsi="Times New Roman" w:cs="Times New Roman"/>
          <w:sz w:val="24"/>
          <w:szCs w:val="24"/>
        </w:rPr>
        <w:t>_</w:t>
      </w:r>
      <w:proofErr w:type="spellStart"/>
      <w:r w:rsidR="007722E6">
        <w:rPr>
          <w:rFonts w:ascii="Times New Roman" w:hAnsi="Times New Roman" w:cs="Times New Roman"/>
          <w:sz w:val="24"/>
          <w:szCs w:val="24"/>
          <w:lang w:val="en-US"/>
        </w:rPr>
        <w:t>Fayzullin</w:t>
      </w:r>
      <w:proofErr w:type="spellEnd"/>
      <w:r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AC3A15">
        <w:rPr>
          <w:rFonts w:ascii="Times New Roman" w:hAnsi="Times New Roman" w:cs="Times New Roman"/>
          <w:sz w:val="24"/>
          <w:szCs w:val="24"/>
          <w:lang w:val="en-US"/>
        </w:rPr>
        <w:t>udn</w:t>
      </w:r>
      <w:proofErr w:type="spellEnd"/>
      <w:r w:rsidR="00AC3A15" w:rsidRPr="00AC3A15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AC3A15">
        <w:rPr>
          <w:rFonts w:ascii="Times New Roman" w:hAnsi="Times New Roman" w:cs="Times New Roman"/>
          <w:sz w:val="24"/>
          <w:szCs w:val="24"/>
          <w:lang w:val="en-US"/>
        </w:rPr>
        <w:t>rosneft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электронный адрес </w:t>
      </w:r>
      <w:r w:rsidR="00534FFE" w:rsidRPr="004053E8">
        <w:rPr>
          <w:rFonts w:ascii="Times New Roman" w:hAnsi="Times New Roman" w:cs="Times New Roman"/>
          <w:sz w:val="24"/>
          <w:szCs w:val="24"/>
        </w:rPr>
        <w:t>____________________</w:t>
      </w:r>
      <w:r w:rsidR="00534FFE">
        <w:rPr>
          <w:rFonts w:ascii="Times New Roman" w:hAnsi="Times New Roman" w:cs="Times New Roman"/>
          <w:sz w:val="24"/>
          <w:szCs w:val="24"/>
        </w:rPr>
        <w:t>.</w:t>
      </w:r>
    </w:p>
    <w:p w:rsidR="00626032" w:rsidRDefault="00CA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626032" w:rsidRDefault="00CA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626032" w:rsidRDefault="00CA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считать данное письмо неотъемлемой частью Договора.</w:t>
      </w:r>
    </w:p>
    <w:p w:rsidR="00626032" w:rsidRDefault="006260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Приложения: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_______________"/>
            </w:textInput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noProof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626032" w:rsidRDefault="006260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137"/>
      </w:tblGrid>
      <w:tr w:rsidR="00626032">
        <w:trPr>
          <w:trHeight w:val="299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:rsidR="00626032" w:rsidRDefault="00CA3F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                                                          Подпись                                       И.О. Фамилия</w:t>
            </w:r>
          </w:p>
        </w:tc>
      </w:tr>
    </w:tbl>
    <w:p w:rsidR="00626032" w:rsidRDefault="006260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6032" w:rsidRDefault="00CA3F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Отметка об исполнителе </w:t>
      </w:r>
    </w:p>
    <w:p w:rsidR="00626032" w:rsidRDefault="00CA3F4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125095</wp:posOffset>
                </wp:positionV>
                <wp:extent cx="6411595" cy="0"/>
                <wp:effectExtent l="0" t="0" r="2730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1E1D4B" id="Прямая соединительная линия 4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" strokecolor="#4579b8 [3044]" strokeweight="1.5pt"/>
            </w:pict>
          </mc:Fallback>
        </mc:AlternateContent>
      </w:r>
    </w:p>
    <w:p w:rsidR="00626032" w:rsidRDefault="00CA3F41">
      <w:pPr>
        <w:pStyle w:val="a8"/>
        <w:widowControl w:val="0"/>
        <w:spacing w:before="0" w:beforeAutospacing="0" w:after="0" w:afterAutospacing="0"/>
        <w:jc w:val="center"/>
        <w:rPr>
          <w:b/>
        </w:rPr>
      </w:pPr>
      <w:r>
        <w:rPr>
          <w:b/>
        </w:rPr>
        <w:t>ОБРАЗЕЦ СОГЛАСОВАН. ПОДПИСИ СТОРОН</w:t>
      </w:r>
    </w:p>
    <w:p w:rsidR="00626032" w:rsidRDefault="00626032">
      <w:pPr>
        <w:pStyle w:val="a8"/>
        <w:widowControl w:val="0"/>
        <w:spacing w:before="0" w:beforeAutospacing="0" w:after="0" w:afterAutospacing="0"/>
        <w:jc w:val="center"/>
        <w:rPr>
          <w:b/>
        </w:rPr>
      </w:pPr>
    </w:p>
    <w:p w:rsidR="00094BE5" w:rsidRDefault="00094BE5" w:rsidP="00094BE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Продавец:</w:t>
      </w:r>
      <w:r>
        <w:rPr>
          <w:rFonts w:ascii="Times New Roman" w:hAnsi="Times New Roman" w:cs="Times New Roman"/>
          <w:b/>
          <w:sz w:val="24"/>
          <w:szCs w:val="24"/>
        </w:rPr>
        <w:tab/>
        <w:t>Покупатель:</w:t>
      </w:r>
    </w:p>
    <w:p w:rsidR="00094BE5" w:rsidRDefault="00094BE5" w:rsidP="00094BE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Удмуртэнергонефть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94BE5" w:rsidRDefault="00094BE5" w:rsidP="00094BE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</w:t>
      </w:r>
    </w:p>
    <w:p w:rsidR="00094BE5" w:rsidRDefault="00094BE5" w:rsidP="00094BE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94BE5" w:rsidRDefault="00094BE5" w:rsidP="00094BE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______________/ И.Л. Беляев</w:t>
      </w:r>
      <w:r>
        <w:rPr>
          <w:rFonts w:ascii="Times New Roman" w:hAnsi="Times New Roman" w:cs="Times New Roman"/>
          <w:b/>
          <w:sz w:val="24"/>
          <w:szCs w:val="24"/>
        </w:rPr>
        <w:tab/>
        <w:t>______________/ ______________</w:t>
      </w:r>
    </w:p>
    <w:p w:rsidR="00094BE5" w:rsidRDefault="00094BE5" w:rsidP="00094BE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м.п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94BE5" w:rsidRDefault="00094BE5" w:rsidP="00094BE5">
      <w:pPr>
        <w:pStyle w:val="a8"/>
        <w:widowControl w:val="0"/>
        <w:spacing w:before="0" w:beforeAutospacing="0" w:after="0" w:afterAutospacing="0"/>
        <w:jc w:val="center"/>
        <w:rPr>
          <w:b/>
        </w:rPr>
      </w:pPr>
    </w:p>
    <w:p w:rsidR="00626032" w:rsidRDefault="00626032" w:rsidP="00094BE5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bookmarkStart w:id="0" w:name="_GoBack"/>
      <w:bookmarkEnd w:id="0"/>
    </w:p>
    <w:sectPr w:rsidR="00626032">
      <w:pgSz w:w="11906" w:h="16838"/>
      <w:pgMar w:top="1134" w:right="851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216" w:rsidRDefault="009A3216">
      <w:pPr>
        <w:spacing w:after="0" w:line="240" w:lineRule="auto"/>
      </w:pPr>
      <w:r>
        <w:separator/>
      </w:r>
    </w:p>
  </w:endnote>
  <w:endnote w:type="continuationSeparator" w:id="0">
    <w:p w:rsidR="009A3216" w:rsidRDefault="009A3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216" w:rsidRDefault="009A3216">
      <w:pPr>
        <w:spacing w:after="0" w:line="240" w:lineRule="auto"/>
      </w:pPr>
      <w:r>
        <w:separator/>
      </w:r>
    </w:p>
  </w:footnote>
  <w:footnote w:type="continuationSeparator" w:id="0">
    <w:p w:rsidR="009A3216" w:rsidRDefault="009A3216">
      <w:pPr>
        <w:spacing w:after="0" w:line="240" w:lineRule="auto"/>
      </w:pPr>
      <w:r>
        <w:continuationSeparator/>
      </w:r>
    </w:p>
  </w:footnote>
  <w:footnote w:id="1">
    <w:p w:rsidR="00626032" w:rsidRDefault="00CA3F41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Электронный носитель – материальный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2.051-2013, статья 3.1.9].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F3E78"/>
    <w:multiLevelType w:val="multilevel"/>
    <w:tmpl w:val="172415B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B80D71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9586979"/>
    <w:multiLevelType w:val="multilevel"/>
    <w:tmpl w:val="4A4CBF5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88" w:hanging="1800"/>
      </w:pPr>
      <w:rPr>
        <w:rFonts w:hint="default"/>
      </w:rPr>
    </w:lvl>
  </w:abstractNum>
  <w:abstractNum w:abstractNumId="5" w15:restartNumberingAfterBreak="0">
    <w:nsid w:val="55544C5F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6" w15:restartNumberingAfterBreak="0">
    <w:nsid w:val="67D221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0983998"/>
    <w:multiLevelType w:val="hybridMultilevel"/>
    <w:tmpl w:val="7A36E7E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72D51F4A"/>
    <w:multiLevelType w:val="hybridMultilevel"/>
    <w:tmpl w:val="339C472E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4E127C0"/>
    <w:multiLevelType w:val="hybridMultilevel"/>
    <w:tmpl w:val="0BDC577E"/>
    <w:lvl w:ilvl="0" w:tplc="D1E836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032"/>
    <w:rsid w:val="00031402"/>
    <w:rsid w:val="00073B0E"/>
    <w:rsid w:val="00080420"/>
    <w:rsid w:val="00094BE5"/>
    <w:rsid w:val="000F10DE"/>
    <w:rsid w:val="00105067"/>
    <w:rsid w:val="001A259C"/>
    <w:rsid w:val="002C4869"/>
    <w:rsid w:val="003A00C6"/>
    <w:rsid w:val="003B77AC"/>
    <w:rsid w:val="003D0EB7"/>
    <w:rsid w:val="003D768B"/>
    <w:rsid w:val="003F4F74"/>
    <w:rsid w:val="004053E8"/>
    <w:rsid w:val="0043559B"/>
    <w:rsid w:val="004B67FF"/>
    <w:rsid w:val="00534FFE"/>
    <w:rsid w:val="00553EE8"/>
    <w:rsid w:val="00626032"/>
    <w:rsid w:val="006436AF"/>
    <w:rsid w:val="00695060"/>
    <w:rsid w:val="00762081"/>
    <w:rsid w:val="007722E6"/>
    <w:rsid w:val="00863686"/>
    <w:rsid w:val="0090793F"/>
    <w:rsid w:val="00940F30"/>
    <w:rsid w:val="00965986"/>
    <w:rsid w:val="00991CF0"/>
    <w:rsid w:val="009A3216"/>
    <w:rsid w:val="009C1647"/>
    <w:rsid w:val="00A773AB"/>
    <w:rsid w:val="00A87954"/>
    <w:rsid w:val="00AA642C"/>
    <w:rsid w:val="00AC3A15"/>
    <w:rsid w:val="00AF22AF"/>
    <w:rsid w:val="00B041D5"/>
    <w:rsid w:val="00B24C38"/>
    <w:rsid w:val="00B867F4"/>
    <w:rsid w:val="00B974D1"/>
    <w:rsid w:val="00C0211A"/>
    <w:rsid w:val="00C44A89"/>
    <w:rsid w:val="00C94301"/>
    <w:rsid w:val="00CA3F41"/>
    <w:rsid w:val="00CE0065"/>
    <w:rsid w:val="00D46C5F"/>
    <w:rsid w:val="00DF3478"/>
    <w:rsid w:val="00E370B1"/>
    <w:rsid w:val="00E63E6E"/>
    <w:rsid w:val="00F03A7E"/>
    <w:rsid w:val="00F20018"/>
    <w:rsid w:val="00F7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1EBBEB"/>
  <w15:docId w15:val="{F7CED562-1A01-4394-9124-6C7BF45D8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Pr>
      <w:vertAlign w:val="superscript"/>
    </w:rPr>
  </w:style>
  <w:style w:type="character" w:styleId="ac">
    <w:name w:val="Hyperlink"/>
    <w:basedOn w:val="a0"/>
    <w:uiPriority w:val="99"/>
    <w:unhideWhenUsed/>
    <w:rPr>
      <w:color w:val="0000FF" w:themeColor="hyperlink"/>
      <w:u w:val="single"/>
    </w:rPr>
  </w:style>
  <w:style w:type="table" w:styleId="ad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1">
    <w:name w:val="annotation text"/>
    <w:basedOn w:val="a"/>
    <w:link w:val="af2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Pr>
      <w:b/>
      <w:bCs/>
      <w:sz w:val="20"/>
      <w:szCs w:val="20"/>
    </w:rPr>
  </w:style>
  <w:style w:type="paragraph" w:styleId="af5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FC901-65EC-42AC-A81B-C19812D9B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7</Pages>
  <Words>1954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13072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Вероника Михайловна</dc:creator>
  <cp:lastModifiedBy>Юрасова Юлия Владимировна</cp:lastModifiedBy>
  <cp:revision>102</cp:revision>
  <dcterms:created xsi:type="dcterms:W3CDTF">2020-11-16T11:59:00Z</dcterms:created>
  <dcterms:modified xsi:type="dcterms:W3CDTF">2025-01-22T07:50:00Z</dcterms:modified>
</cp:coreProperties>
</file>