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6060F987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EE7B5D" w:rsidRPr="00EE7B5D">
        <w:rPr>
          <w:i/>
        </w:rPr>
        <w:t>Акционерное общество «Нефтяная компания «Конданефть» (АО «НК «Конданефть»)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EE7B5D" w:rsidRPr="00EE7B5D">
        <w:rPr>
          <w:i/>
        </w:rPr>
        <w:t>представителя Фуфачевой Татьяны Владимировны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EE7B5D" w:rsidRPr="00EE7B5D">
        <w:t xml:space="preserve">доверенности № </w:t>
      </w:r>
      <w:r w:rsidR="00292973">
        <w:t>15</w:t>
      </w:r>
      <w:r w:rsidR="00EE7B5D" w:rsidRPr="00EE7B5D">
        <w:t>-2</w:t>
      </w:r>
      <w:r w:rsidR="00292973">
        <w:t>8</w:t>
      </w:r>
      <w:r w:rsidR="00EE7B5D" w:rsidRPr="00EE7B5D">
        <w:t xml:space="preserve"> от 01.01.202</w:t>
      </w:r>
      <w:r w:rsidR="00292973">
        <w:t>5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lastRenderedPageBreak/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lastRenderedPageBreak/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72DE9B23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>
        <w:fldChar w:fldCharType="end"/>
      </w:r>
      <w:bookmarkEnd w:id="2"/>
    </w:p>
    <w:p w14:paraId="3136A9BB" w14:textId="75F6E4F3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>
        <w:rPr>
          <w:noProof/>
        </w:rPr>
        <w:t xml:space="preserve">(а) передача первой части МТР – </w:t>
      </w:r>
      <w:r w:rsidR="00EE7B5D">
        <w:rPr>
          <w:noProof/>
        </w:rPr>
        <w:t>10</w:t>
      </w:r>
      <w:r>
        <w:rPr>
          <w:noProof/>
        </w:rPr>
        <w:t xml:space="preserve">0% от общей стоимости МТР, указанной в Спецификации к настоящему Договору, производится в течение </w:t>
      </w:r>
      <w:r w:rsidR="00EE7B5D">
        <w:rPr>
          <w:noProof/>
        </w:rPr>
        <w:t>45</w:t>
      </w:r>
      <w:r>
        <w:rPr>
          <w:noProof/>
        </w:rPr>
        <w:t xml:space="preserve"> календарных дней, но не более   45   календарных дней  с момента поступления на расчетный счет Продавца оплаты в </w:t>
      </w:r>
      <w:r>
        <w:fldChar w:fldCharType="end"/>
      </w:r>
      <w:bookmarkEnd w:id="3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 w:rsidR="00B4522F">
        <w:instrText xml:space="preserve"> FORMTEXT </w:instrText>
      </w:r>
      <w:r w:rsidR="00B4522F">
        <w:fldChar w:fldCharType="separate"/>
      </w:r>
      <w:r w:rsidR="00B4522F">
        <w:rPr>
          <w:noProof/>
        </w:rPr>
        <w:t xml:space="preserve">размере  </w:t>
      </w:r>
      <w:r w:rsidR="00EE7B5D">
        <w:rPr>
          <w:noProof/>
        </w:rPr>
        <w:t>100</w:t>
      </w:r>
      <w:r w:rsidR="00B4522F">
        <w:rPr>
          <w:noProof/>
        </w:rPr>
        <w:t>%  от общей стоимости МТР. МТР передаются Покупателю на складе Продавца, в месте нахождения МТР, путем выборки МТР Покупателем</w:t>
      </w:r>
      <w:r w:rsidR="004A7F75">
        <w:rPr>
          <w:noProof/>
        </w:rPr>
        <w:t>.</w:t>
      </w:r>
      <w:r w:rsidR="00B4522F">
        <w:fldChar w:fldCharType="end"/>
      </w:r>
      <w:bookmarkEnd w:id="4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5" w:name="ТекстовоеПоле803"/>
      <w:r>
        <w:instrText xml:space="preserve"> FORMTEXT </w:instrText>
      </w:r>
      <w:r>
        <w:fldChar w:fldCharType="separate"/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>
        <w:fldChar w:fldCharType="end"/>
      </w:r>
      <w:bookmarkEnd w:id="5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6" w:name="ТекстовоеПоле804"/>
      <w:r w:rsidR="0049493F">
        <w:instrText xml:space="preserve"> FORMTEXT </w:instrText>
      </w:r>
      <w:r w:rsidR="0049493F">
        <w:fldChar w:fldCharType="separate"/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 w:rsidR="0049493F">
        <w:fldChar w:fldCharType="end"/>
      </w:r>
      <w:bookmarkEnd w:id="6"/>
    </w:p>
    <w:p w14:paraId="191A3D35" w14:textId="7080EA95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7" w:name="ТекстовоеПоле809"/>
      <w:r>
        <w:instrText xml:space="preserve"> FORMTEXT </w:instrText>
      </w:r>
      <w:r>
        <w:fldChar w:fldCharType="separate"/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>
        <w:fldChar w:fldCharType="end"/>
      </w:r>
      <w:bookmarkEnd w:id="7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 w:rsidR="004A7F75">
        <w:t> </w:t>
      </w:r>
      <w:r w:rsidR="002C6C2D">
        <w:fldChar w:fldCharType="end"/>
      </w:r>
    </w:p>
    <w:p w14:paraId="1EBD2614" w14:textId="57D3D93A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8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</w:t>
      </w:r>
      <w:r w:rsidR="0007393D">
        <w:rPr>
          <w:noProof/>
        </w:rPr>
        <w:t>5</w:t>
      </w:r>
      <w:r w:rsidR="00546F1B">
        <w:rPr>
          <w:noProof/>
        </w:rPr>
        <w:t xml:space="preserve">  </w:t>
      </w:r>
      <w:r w:rsidR="007D4FB7" w:rsidRPr="007D4FB7">
        <w:fldChar w:fldCharType="end"/>
      </w:r>
      <w:bookmarkEnd w:id="8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lastRenderedPageBreak/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5FD43CDC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9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__</w:t>
      </w:r>
      <w:r w:rsidR="00EE7B5D">
        <w:rPr>
          <w:noProof/>
        </w:rPr>
        <w:t>10</w:t>
      </w:r>
      <w:r w:rsidR="00720012">
        <w:rPr>
          <w:noProof/>
        </w:rPr>
        <w:t>____</w:t>
      </w:r>
      <w:r w:rsidR="00720012">
        <w:fldChar w:fldCharType="end"/>
      </w:r>
      <w:bookmarkEnd w:id="9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lastRenderedPageBreak/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6D2A0679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0" w:name="ТекстовоеПоле759"/>
      <w:r w:rsidR="008905B7">
        <w:instrText xml:space="preserve"> FORMTEXT </w:instrText>
      </w:r>
      <w:r w:rsidR="008905B7">
        <w:fldChar w:fldCharType="separate"/>
      </w:r>
      <w:r w:rsidR="00EE7B5D">
        <w:t xml:space="preserve">авансовым платежем в размере </w:t>
      </w:r>
      <w:r w:rsidR="008905B7">
        <w:rPr>
          <w:noProof/>
        </w:rPr>
        <w:t xml:space="preserve"> </w:t>
      </w:r>
      <w:r w:rsidR="00EE7B5D">
        <w:rPr>
          <w:noProof/>
        </w:rPr>
        <w:t>10</w:t>
      </w:r>
      <w:r w:rsidR="008905B7">
        <w:rPr>
          <w:noProof/>
        </w:rPr>
        <w:t>0% от общей стоимости всех МТР, указанных в Спецификации к настоящему Договору</w:t>
      </w:r>
      <w:r w:rsidR="008905B7">
        <w:fldChar w:fldCharType="end"/>
      </w:r>
      <w:bookmarkEnd w:id="10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32A9C8D2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EE7B5D">
        <w:rPr>
          <w:rFonts w:ascii="Times New Roman" w:hAnsi="Times New Roman"/>
          <w:noProof/>
          <w:sz w:val="24"/>
          <w:szCs w:val="24"/>
        </w:rPr>
        <w:t>10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1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1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6449B53C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="00EE7B5D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EE7B5D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00639567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2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2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B030AF" w:rsidRPr="00B030AF">
        <w:t>филиал ООО "РН-Учет" г. Самара. Адрес: 461049 г. Бузулук, Оренбургская область, ул. Объездная д.5, филиал ООО "РН-Учет в г.Самаре, а так же в случае необходимости проведения оперативной сверки отправляет скан образ акта на электронный адрес rnu-samara-zapros@rn-uchet.rosneft.ru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lastRenderedPageBreak/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6CEFB7CF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 xml:space="preserve">к настоящему </w:t>
      </w:r>
      <w:r w:rsidR="00527920">
        <w:rPr>
          <w:rFonts w:ascii="Times New Roman" w:hAnsi="Times New Roman"/>
          <w:bCs/>
          <w:sz w:val="24"/>
          <w:szCs w:val="24"/>
        </w:rPr>
        <w:lastRenderedPageBreak/>
        <w:t>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3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3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4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4A7F75">
        <w:rPr>
          <w:rFonts w:ascii="Times New Roman" w:hAnsi="Times New Roman"/>
          <w:bCs/>
          <w:sz w:val="24"/>
          <w:szCs w:val="24"/>
        </w:rPr>
        <w:t> 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>. Обя</w:t>
      </w:r>
      <w:r w:rsidRPr="00C0430C">
        <w:rPr>
          <w:sz w:val="24"/>
          <w:szCs w:val="24"/>
        </w:rPr>
        <w:lastRenderedPageBreak/>
        <w:t xml:space="preserve">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5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5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35D438B3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6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 w:rsidR="004A7F75">
        <w:rPr>
          <w:rFonts w:ascii="Times New Roman" w:hAnsi="Times New Roman"/>
          <w:i/>
          <w:sz w:val="24"/>
          <w:szCs w:val="24"/>
        </w:rPr>
        <w:t> </w:t>
      </w:r>
      <w:r w:rsidR="004A7F75">
        <w:rPr>
          <w:rFonts w:ascii="Times New Roman" w:hAnsi="Times New Roman"/>
          <w:i/>
          <w:sz w:val="24"/>
          <w:szCs w:val="24"/>
        </w:rPr>
        <w:t> </w:t>
      </w:r>
      <w:r w:rsidR="004A7F75">
        <w:rPr>
          <w:rFonts w:ascii="Times New Roman" w:hAnsi="Times New Roman"/>
          <w:i/>
          <w:sz w:val="24"/>
          <w:szCs w:val="24"/>
        </w:rPr>
        <w:t> </w:t>
      </w:r>
      <w:r w:rsidR="004A7F75">
        <w:rPr>
          <w:rFonts w:ascii="Times New Roman" w:hAnsi="Times New Roman"/>
          <w:i/>
          <w:sz w:val="24"/>
          <w:szCs w:val="24"/>
        </w:rPr>
        <w:t> </w:t>
      </w:r>
      <w:r w:rsidR="004A7F75">
        <w:rPr>
          <w:rFonts w:ascii="Times New Roman" w:hAnsi="Times New Roman"/>
          <w:i/>
          <w:sz w:val="24"/>
          <w:szCs w:val="24"/>
        </w:rPr>
        <w:t> 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6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7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8" w:name="ТекстовоеПоле776"/>
      <w:bookmarkEnd w:id="17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8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9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0" w:name="ТекстовоеПоле778"/>
      <w:bookmarkEnd w:id="19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1" w:name="ТекстовоеПоле779"/>
      <w:bookmarkEnd w:id="20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предоставить заверенные организацией образцы подписей вышеуказанных лиц. </w:t>
      </w:r>
      <w:bookmarkStart w:id="22" w:name="ТекстовоеПоле780"/>
      <w:bookmarkEnd w:id="21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2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3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4" w:name="ТекстовоеПоле782"/>
      <w:bookmarkEnd w:id="23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5" w:name="ТекстовоеПоле783"/>
      <w:bookmarkEnd w:id="24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6" w:name="ТекстовоеПоле784"/>
      <w:bookmarkEnd w:id="25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6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7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7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8" w:name="ТекстовоеПоле786"/>
      <w:r>
        <w:rPr>
          <w:rFonts w:ascii="Times New Roman" w:hAnsi="Times New Roman"/>
          <w:noProof/>
          <w:sz w:val="24"/>
          <w:szCs w:val="24"/>
        </w:rPr>
        <w:lastRenderedPageBreak/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29" w:name="ТекстовоеПоле787"/>
      <w:bookmarkEnd w:id="28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0" w:name="ТекстовоеПоле788"/>
      <w:bookmarkEnd w:id="29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0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1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lastRenderedPageBreak/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lastRenderedPageBreak/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</w:t>
      </w:r>
      <w:r w:rsidRPr="00C0430C">
        <w:lastRenderedPageBreak/>
        <w:t xml:space="preserve">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</w:t>
      </w:r>
      <w:r w:rsidRPr="00D64F45">
        <w:rPr>
          <w:rFonts w:ascii="Times New Roman" w:hAnsi="Times New Roman"/>
          <w:sz w:val="24"/>
          <w:szCs w:val="24"/>
        </w:rPr>
        <w:lastRenderedPageBreak/>
        <w:t xml:space="preserve">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7325BF6C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2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4A7F75">
        <w:rPr>
          <w:sz w:val="24"/>
          <w:szCs w:val="24"/>
        </w:rPr>
        <w:t> </w:t>
      </w:r>
      <w:r w:rsidR="004A7F75">
        <w:rPr>
          <w:sz w:val="24"/>
          <w:szCs w:val="24"/>
        </w:rPr>
        <w:t> </w:t>
      </w:r>
      <w:r w:rsidR="004A7F75">
        <w:rPr>
          <w:sz w:val="24"/>
          <w:szCs w:val="24"/>
        </w:rPr>
        <w:t> </w:t>
      </w:r>
      <w:r w:rsidR="004A7F75">
        <w:rPr>
          <w:sz w:val="24"/>
          <w:szCs w:val="24"/>
        </w:rPr>
        <w:t> </w:t>
      </w:r>
      <w:r w:rsidR="004A7F75">
        <w:rPr>
          <w:sz w:val="24"/>
          <w:szCs w:val="24"/>
        </w:rPr>
        <w:t> </w:t>
      </w:r>
      <w:r w:rsidR="003F65EC">
        <w:rPr>
          <w:sz w:val="24"/>
          <w:szCs w:val="24"/>
        </w:rPr>
        <w:fldChar w:fldCharType="end"/>
      </w:r>
      <w:bookmarkEnd w:id="32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3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4A7F75">
        <w:rPr>
          <w:sz w:val="24"/>
          <w:szCs w:val="24"/>
        </w:rPr>
        <w:t> </w:t>
      </w:r>
      <w:r w:rsidR="004A7F75">
        <w:rPr>
          <w:sz w:val="24"/>
          <w:szCs w:val="24"/>
        </w:rPr>
        <w:t> </w:t>
      </w:r>
      <w:r w:rsidR="004A7F75">
        <w:rPr>
          <w:sz w:val="24"/>
          <w:szCs w:val="24"/>
        </w:rPr>
        <w:t> </w:t>
      </w:r>
      <w:r w:rsidR="004A7F75">
        <w:rPr>
          <w:sz w:val="24"/>
          <w:szCs w:val="24"/>
        </w:rPr>
        <w:t> </w:t>
      </w:r>
      <w:r w:rsidR="004A7F75">
        <w:rPr>
          <w:sz w:val="24"/>
          <w:szCs w:val="24"/>
        </w:rPr>
        <w:t> </w:t>
      </w:r>
      <w:r w:rsidR="00F94603">
        <w:rPr>
          <w:sz w:val="24"/>
          <w:szCs w:val="24"/>
        </w:rPr>
        <w:fldChar w:fldCharType="end"/>
      </w:r>
      <w:bookmarkEnd w:id="33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676E7468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A648D0">
        <w:rPr>
          <w:noProof/>
        </w:rPr>
        <w:t>_</w:t>
      </w:r>
      <w:r w:rsidR="00EE7B5D">
        <w:rPr>
          <w:noProof/>
        </w:rPr>
        <w:t>11</w:t>
      </w:r>
      <w:r w:rsidR="00A648D0">
        <w:rPr>
          <w:noProof/>
        </w:rPr>
        <w:t>__месяцев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lastRenderedPageBreak/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 xml:space="preserve"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</w:t>
      </w:r>
      <w:r w:rsidRPr="00B74FD3">
        <w:rPr>
          <w:rFonts w:ascii="Times New Roman" w:hAnsi="Times New Roman"/>
          <w:sz w:val="24"/>
          <w:szCs w:val="24"/>
        </w:rPr>
        <w:lastRenderedPageBreak/>
        <w:t>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>Штрафные санкции за нарушение пропускного и внутриобъектового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4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4"/>
    </w:p>
    <w:p w14:paraId="3D957C76" w14:textId="039D1B53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5" w:name="ТекстовоеПоле793"/>
      <w:r>
        <w:instrText xml:space="preserve"> FORMTEXT </w:instrText>
      </w:r>
      <w:r>
        <w:fldChar w:fldCharType="separate"/>
      </w:r>
      <w:r w:rsidR="001B4939">
        <w:t> </w:t>
      </w:r>
      <w:r w:rsidR="001B4939">
        <w:t> </w:t>
      </w:r>
      <w:r w:rsidR="001B4939">
        <w:t> </w:t>
      </w:r>
      <w:r w:rsidR="001B4939">
        <w:t> </w:t>
      </w:r>
      <w:r w:rsidR="001B4939">
        <w:t> </w:t>
      </w:r>
      <w:r>
        <w:fldChar w:fldCharType="end"/>
      </w:r>
      <w:bookmarkEnd w:id="35"/>
      <w:r w:rsidR="00914D31">
        <w:t xml:space="preserve"> </w:t>
      </w:r>
    </w:p>
    <w:p w14:paraId="2AD494DC" w14:textId="163EBD63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4"/>
      <w:r>
        <w:instrText xml:space="preserve"> FORMTEXT </w:instrText>
      </w:r>
      <w:r>
        <w:fldChar w:fldCharType="separate"/>
      </w:r>
      <w:r w:rsidR="00A24E28">
        <w:t> </w:t>
      </w:r>
      <w:r w:rsidR="00A24E28">
        <w:t> </w:t>
      </w:r>
      <w:r w:rsidR="00A24E28">
        <w:t> </w:t>
      </w:r>
      <w:r w:rsidR="00A24E28">
        <w:t> </w:t>
      </w:r>
      <w:r w:rsidR="00A24E28">
        <w:t> </w:t>
      </w:r>
      <w:r>
        <w:fldChar w:fldCharType="end"/>
      </w:r>
      <w:bookmarkEnd w:id="36"/>
      <w:r w:rsidR="00914D31">
        <w:t xml:space="preserve"> </w:t>
      </w:r>
    </w:p>
    <w:p w14:paraId="385F752B" w14:textId="41EDB0F7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7" w:name="ТекстовоеПоле795"/>
      <w:r>
        <w:instrText xml:space="preserve">FORMTEXT </w:instrText>
      </w:r>
      <w:r>
        <w:fldChar w:fldCharType="separate"/>
      </w:r>
      <w:r w:rsidR="00A24E28">
        <w:t> </w:t>
      </w:r>
      <w:r w:rsidR="00A24E28">
        <w:t> </w:t>
      </w:r>
      <w:r w:rsidR="00A24E28">
        <w:t> </w:t>
      </w:r>
      <w:r w:rsidR="00A24E28">
        <w:t> </w:t>
      </w:r>
      <w:r w:rsidR="00A24E28">
        <w:t> </w:t>
      </w:r>
      <w:r>
        <w:fldChar w:fldCharType="end"/>
      </w:r>
      <w:bookmarkEnd w:id="37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7F59BB0E" w14:textId="77777777" w:rsidR="004A7F75" w:rsidRDefault="00D52B68" w:rsidP="004A7F75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38" w:name="_GoBack"/>
            <w:bookmarkEnd w:id="38"/>
            <w:r w:rsidR="004A7F75">
              <w:t xml:space="preserve">628002, Российская Федерация, </w:t>
            </w:r>
          </w:p>
          <w:p w14:paraId="306A0B23" w14:textId="77777777" w:rsidR="004A7F75" w:rsidRDefault="004A7F75" w:rsidP="004A7F75">
            <w:pPr>
              <w:pStyle w:val="a5"/>
            </w:pPr>
            <w:r>
              <w:t xml:space="preserve">Ханты-Мансийский автономный </w:t>
            </w:r>
          </w:p>
          <w:p w14:paraId="6F3A0BB6" w14:textId="77777777" w:rsidR="004A7F75" w:rsidRDefault="004A7F75" w:rsidP="004A7F75">
            <w:pPr>
              <w:pStyle w:val="a5"/>
            </w:pPr>
            <w:r>
              <w:t xml:space="preserve">округ -Югра, г. Ханты-Мансийск, </w:t>
            </w:r>
          </w:p>
          <w:p w14:paraId="4B24D486" w14:textId="20E048B2" w:rsidR="009A28EE" w:rsidRDefault="004A7F75" w:rsidP="004A7F75">
            <w:pPr>
              <w:pStyle w:val="a5"/>
            </w:pPr>
            <w:r>
              <w:t>ул. Сутормина, дом 16</w:t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5EF9E9AD" w14:textId="1E6D6109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7F75">
              <w:t> </w:t>
            </w:r>
            <w:r w:rsidR="004A7F75">
              <w:t> </w:t>
            </w:r>
            <w:r w:rsidR="004A7F75">
              <w:t> </w:t>
            </w:r>
            <w:r w:rsidR="004A7F75">
              <w:t> </w:t>
            </w:r>
            <w:r w:rsidR="004A7F75">
              <w:t> </w:t>
            </w:r>
            <w:r>
              <w:fldChar w:fldCharType="end"/>
            </w:r>
          </w:p>
          <w:p w14:paraId="34867940" w14:textId="77777777"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6BB9AC45" w14:textId="4AD21C29" w:rsidR="004A7F75" w:rsidRDefault="00D52B68" w:rsidP="004A7F75">
            <w:pPr>
              <w:pStyle w:val="a5"/>
              <w:rPr>
                <w:noProof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A7F75">
              <w:rPr>
                <w:noProof/>
              </w:rPr>
              <w:t xml:space="preserve">628002, Российская Федерация, </w:t>
            </w:r>
          </w:p>
          <w:p w14:paraId="4D12CAE0" w14:textId="77777777" w:rsidR="004A7F75" w:rsidRDefault="004A7F75" w:rsidP="004A7F75">
            <w:pPr>
              <w:pStyle w:val="a5"/>
              <w:rPr>
                <w:noProof/>
              </w:rPr>
            </w:pPr>
            <w:r>
              <w:rPr>
                <w:noProof/>
              </w:rPr>
              <w:t xml:space="preserve">Ханты-Мансийский автономный </w:t>
            </w:r>
          </w:p>
          <w:p w14:paraId="64FDDE4C" w14:textId="77777777" w:rsidR="004A7F75" w:rsidRDefault="004A7F75" w:rsidP="004A7F75">
            <w:pPr>
              <w:pStyle w:val="a5"/>
              <w:rPr>
                <w:noProof/>
              </w:rPr>
            </w:pPr>
            <w:r>
              <w:rPr>
                <w:noProof/>
              </w:rPr>
              <w:t xml:space="preserve">округ -Югра, г. Ханты-Мансийск, </w:t>
            </w:r>
          </w:p>
          <w:p w14:paraId="10F8E846" w14:textId="7A45EB2A" w:rsidR="00D52B68" w:rsidRDefault="004A7F75" w:rsidP="004A7F75">
            <w:pPr>
              <w:pStyle w:val="a5"/>
            </w:pPr>
            <w:r>
              <w:rPr>
                <w:noProof/>
              </w:rPr>
              <w:t>ул. Сутормина, дом 16</w:t>
            </w:r>
            <w:r w:rsidR="00546F1B">
              <w:rPr>
                <w:noProof/>
              </w:rPr>
              <w:t>_______________________</w:t>
            </w:r>
            <w:r w:rsidR="00D52B68">
              <w:fldChar w:fldCharType="end"/>
            </w:r>
          </w:p>
          <w:p w14:paraId="37F38ABD" w14:textId="22661034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41243">
              <w:t> </w:t>
            </w:r>
            <w:r w:rsidR="00141243">
              <w:t> </w:t>
            </w:r>
            <w:r w:rsidR="00141243">
              <w:t> </w:t>
            </w:r>
            <w:r w:rsidR="00141243">
              <w:t> </w:t>
            </w:r>
            <w:r w:rsidR="00141243">
              <w:t> </w:t>
            </w:r>
            <w:r>
              <w:fldChar w:fldCharType="end"/>
            </w:r>
          </w:p>
          <w:p w14:paraId="151E4F2D" w14:textId="0161AB82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41243">
              <w:t> </w:t>
            </w:r>
            <w:r w:rsidR="00141243">
              <w:t> </w:t>
            </w:r>
            <w:r w:rsidR="00141243">
              <w:t> </w:t>
            </w:r>
            <w:r w:rsidR="00141243">
              <w:t> </w:t>
            </w:r>
            <w:r w:rsidR="00141243">
              <w:t> 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278CE577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4A7F75" w:rsidRPr="004A7F75">
              <w:t>8 (3467) 396-234/(3467) 336-773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406A463B" w:rsidR="00C0430C" w:rsidRPr="004A7F75" w:rsidRDefault="009A28EE" w:rsidP="004A7F75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4A7F75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4A7F75">
              <w:rPr>
                <w:lang w:val="en-US"/>
              </w:rPr>
              <w:t>:</w:t>
            </w:r>
            <w:r w:rsidRPr="004A7F75">
              <w:rPr>
                <w:lang w:val="en-US"/>
              </w:rPr>
              <w:t xml:space="preserve"> </w:t>
            </w:r>
            <w:r w:rsidR="00C0430C" w:rsidRPr="004A7F75">
              <w:rPr>
                <w:lang w:val="en-US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 w:rsidRPr="004A7F75">
              <w:rPr>
                <w:lang w:val="en-US"/>
              </w:rPr>
              <w:instrText xml:space="preserve"> FORMTEXT </w:instrText>
            </w:r>
            <w:r w:rsidR="00D52B68">
              <w:fldChar w:fldCharType="separate"/>
            </w:r>
            <w:r w:rsidR="004A7F75" w:rsidRPr="004A7F75">
              <w:rPr>
                <w:noProof/>
                <w:lang w:val="en-US"/>
              </w:rPr>
              <w:t>info_kndnft@knd.rosneft.ru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4A7F75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4434C1D2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4A7F75" w:rsidRPr="004A7F75">
              <w:rPr>
                <w:noProof/>
              </w:rPr>
              <w:t>7718890240</w:t>
            </w:r>
            <w:r w:rsidR="00546F1B">
              <w:rPr>
                <w:noProof/>
              </w:rPr>
              <w:t>______________</w:t>
            </w:r>
            <w:r w:rsidR="00D52B68">
              <w:fldChar w:fldCharType="end"/>
            </w:r>
          </w:p>
          <w:p w14:paraId="62D704A8" w14:textId="3FE83CA4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4A7F75" w:rsidRPr="004A7F75">
              <w:rPr>
                <w:noProof/>
              </w:rPr>
              <w:t>546050001</w:t>
            </w:r>
            <w:r w:rsidR="00546F1B">
              <w:rPr>
                <w:noProof/>
              </w:rPr>
              <w:t>_______________</w:t>
            </w:r>
            <w:r w:rsidR="00D52B68">
              <w:fldChar w:fldCharType="end"/>
            </w:r>
          </w:p>
          <w:p w14:paraId="6DDA9325" w14:textId="015D50FD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B030AF" w:rsidRPr="00B030AF">
              <w:rPr>
                <w:noProof/>
              </w:rPr>
              <w:t>09873273</w:t>
            </w:r>
            <w:r w:rsidR="00546F1B">
              <w:rPr>
                <w:noProof/>
              </w:rPr>
              <w:t>_______________</w:t>
            </w:r>
            <w:r w:rsidR="00D52B68">
              <w:fldChar w:fldCharType="end"/>
            </w:r>
          </w:p>
          <w:p w14:paraId="754BE4C7" w14:textId="58401610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B030AF" w:rsidRPr="00B030AF">
              <w:rPr>
                <w:noProof/>
              </w:rPr>
              <w:t>06.10.1</w:t>
            </w:r>
            <w:r w:rsidR="00546F1B">
              <w:rPr>
                <w:noProof/>
              </w:rPr>
              <w:t>________________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543F8225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B030AF" w:rsidRPr="00B030AF">
              <w:t>40702810200003005660</w:t>
            </w:r>
            <w:r w:rsidR="00D52B68">
              <w:fldChar w:fldCharType="end"/>
            </w:r>
          </w:p>
          <w:p w14:paraId="2AA29F0A" w14:textId="4F94BD1A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B030AF" w:rsidRPr="00B030AF">
              <w:t>30101810900000000880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672D9C61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030AF" w:rsidRPr="00B030AF">
              <w:t>Банк «ВБРР» (АО)</w:t>
            </w:r>
            <w:r>
              <w:fldChar w:fldCharType="end"/>
            </w:r>
          </w:p>
          <w:p w14:paraId="09D79B2C" w14:textId="427749CA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B030AF" w:rsidRPr="00B030AF">
              <w:t>044525880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lastRenderedPageBreak/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1D5F3C06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B030AF" w:rsidRPr="00B030AF">
              <w:rPr>
                <w:i/>
                <w:iCs/>
                <w:shd w:val="clear" w:color="auto" w:fill="D9D9D9"/>
              </w:rPr>
              <w:t>Представитель по доверенности                                 №1</w:t>
            </w:r>
            <w:r w:rsidR="00292973">
              <w:rPr>
                <w:i/>
                <w:iCs/>
                <w:shd w:val="clear" w:color="auto" w:fill="D9D9D9"/>
              </w:rPr>
              <w:t>5</w:t>
            </w:r>
            <w:r w:rsidR="00B030AF" w:rsidRPr="00B030AF">
              <w:rPr>
                <w:i/>
                <w:iCs/>
                <w:shd w:val="clear" w:color="auto" w:fill="D9D9D9"/>
              </w:rPr>
              <w:t>-2</w:t>
            </w:r>
            <w:r w:rsidR="00292973">
              <w:rPr>
                <w:i/>
                <w:iCs/>
                <w:shd w:val="clear" w:color="auto" w:fill="D9D9D9"/>
              </w:rPr>
              <w:t>5</w:t>
            </w:r>
            <w:r w:rsidR="00B030AF" w:rsidRPr="00B030AF">
              <w:rPr>
                <w:i/>
                <w:iCs/>
                <w:shd w:val="clear" w:color="auto" w:fill="D9D9D9"/>
              </w:rPr>
              <w:t xml:space="preserve"> от 01.01.202</w:t>
            </w:r>
            <w:r w:rsidR="00292973">
              <w:rPr>
                <w:i/>
                <w:iCs/>
                <w:shd w:val="clear" w:color="auto" w:fill="D9D9D9"/>
              </w:rPr>
              <w:t>5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9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3A9CD64E" w14:textId="17AD5660" w:rsidR="00B030AF" w:rsidRPr="00B030AF" w:rsidRDefault="00C77B9D" w:rsidP="00B030AF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B030AF">
              <w:rPr>
                <w:i/>
                <w:iCs/>
              </w:rPr>
              <w:t xml:space="preserve">                            </w:t>
            </w:r>
            <w:r w:rsidR="00546F1B">
              <w:rPr>
                <w:i/>
                <w:iCs/>
                <w:noProof/>
              </w:rPr>
              <w:t xml:space="preserve">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B030AF" w:rsidRPr="00B030AF">
              <w:rPr>
                <w:i/>
                <w:iCs/>
              </w:rPr>
              <w:t xml:space="preserve"> Фуфачева Т.В.</w:t>
            </w:r>
          </w:p>
          <w:p w14:paraId="2DEE8FB7" w14:textId="3AA6C178" w:rsidR="00C77B9D" w:rsidRPr="00C77B9D" w:rsidRDefault="00C77B9D" w:rsidP="00B030AF">
            <w:pPr>
              <w:pStyle w:val="a5"/>
              <w:rPr>
                <w:i/>
                <w:iCs/>
              </w:rPr>
            </w:pPr>
            <w:r>
              <w:rPr>
                <w:i/>
                <w:iCs/>
              </w:rPr>
              <w:fldChar w:fldCharType="end"/>
            </w:r>
            <w:bookmarkEnd w:id="41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422D044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</w:t>
            </w:r>
            <w:r w:rsidR="00B030AF">
              <w:rPr>
                <w:i/>
                <w:iCs/>
                <w:noProof/>
              </w:rPr>
              <w:t xml:space="preserve">                        </w:t>
            </w:r>
            <w:r w:rsidR="00546F1B">
              <w:rPr>
                <w:i/>
                <w:iCs/>
                <w:noProof/>
              </w:rPr>
              <w:t xml:space="preserve">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    </w:t>
            </w:r>
            <w:r w:rsidR="00B030AF">
              <w:rPr>
                <w:i/>
                <w:iCs/>
                <w:noProof/>
              </w:rPr>
              <w:t xml:space="preserve">          </w:t>
            </w:r>
            <w:r w:rsidR="00546F1B">
              <w:rPr>
                <w:i/>
                <w:iCs/>
                <w:noProof/>
              </w:rPr>
              <w:t xml:space="preserve">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31D6B" w14:textId="77777777" w:rsidR="00F16326" w:rsidRDefault="00F16326" w:rsidP="002B5D5A">
      <w:pPr>
        <w:spacing w:after="0" w:line="240" w:lineRule="auto"/>
      </w:pPr>
      <w:r>
        <w:separator/>
      </w:r>
    </w:p>
  </w:endnote>
  <w:endnote w:type="continuationSeparator" w:id="0">
    <w:p w14:paraId="6381A2D1" w14:textId="77777777" w:rsidR="00F16326" w:rsidRDefault="00F16326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C5A8B" w14:textId="69851F29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1B4939" w:rsidRPr="001B4939">
      <w:rPr>
        <w:rFonts w:asciiTheme="majorHAnsi" w:eastAsiaTheme="majorEastAsia" w:hAnsiTheme="majorHAnsi" w:cstheme="majorBidi"/>
        <w:noProof/>
      </w:rPr>
      <w:t>9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B3944" w14:textId="77777777" w:rsidR="00F16326" w:rsidRDefault="00F16326" w:rsidP="002B5D5A">
      <w:pPr>
        <w:spacing w:after="0" w:line="240" w:lineRule="auto"/>
      </w:pPr>
      <w:r>
        <w:separator/>
      </w:r>
    </w:p>
  </w:footnote>
  <w:footnote w:type="continuationSeparator" w:id="0">
    <w:p w14:paraId="73D890D0" w14:textId="77777777" w:rsidR="00F16326" w:rsidRDefault="00F16326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FF913" w14:textId="3997647C" w:rsidR="007D31CC" w:rsidRDefault="001B4939">
    <w:pPr>
      <w:pStyle w:val="ad"/>
    </w:pPr>
    <w:r>
      <w:rPr>
        <w:noProof/>
      </w:rPr>
      <w:pict w14:anchorId="7FF6C8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cumentProtection w:edit="forms" w:enforcement="1" w:cryptProviderType="rsaAES" w:cryptAlgorithmClass="hash" w:cryptAlgorithmType="typeAny" w:cryptAlgorithmSid="14" w:cryptSpinCount="100000" w:hash="r+Q5MWYY7QE0vQ1U+8iW6dMo4HZ86q7tGPnHAIPxuJX1zlVi5SLD92auUWUpndjzdx5MqZ+/xsUcgPKxTCkOIg==" w:salt="AWEYkM/fwtIRaUvNXRfN5g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7393D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1243"/>
    <w:rsid w:val="00142472"/>
    <w:rsid w:val="001436CA"/>
    <w:rsid w:val="001462DD"/>
    <w:rsid w:val="001515F7"/>
    <w:rsid w:val="001570E7"/>
    <w:rsid w:val="0017290B"/>
    <w:rsid w:val="00184395"/>
    <w:rsid w:val="00192D37"/>
    <w:rsid w:val="001A2773"/>
    <w:rsid w:val="001A52F7"/>
    <w:rsid w:val="001A7FE4"/>
    <w:rsid w:val="001B4939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1A7F"/>
    <w:rsid w:val="00255D79"/>
    <w:rsid w:val="0026116F"/>
    <w:rsid w:val="0026640B"/>
    <w:rsid w:val="00292973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A7F75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4B88"/>
    <w:rsid w:val="007A76F8"/>
    <w:rsid w:val="007B6B69"/>
    <w:rsid w:val="007C7ADF"/>
    <w:rsid w:val="007C7F55"/>
    <w:rsid w:val="007D1DA9"/>
    <w:rsid w:val="007D31CC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4FD7"/>
    <w:rsid w:val="009A7402"/>
    <w:rsid w:val="009A769D"/>
    <w:rsid w:val="009B001E"/>
    <w:rsid w:val="009B156A"/>
    <w:rsid w:val="009B161C"/>
    <w:rsid w:val="009B2217"/>
    <w:rsid w:val="009E0E90"/>
    <w:rsid w:val="009E1550"/>
    <w:rsid w:val="009E5B4D"/>
    <w:rsid w:val="00A044C2"/>
    <w:rsid w:val="00A102BD"/>
    <w:rsid w:val="00A235C5"/>
    <w:rsid w:val="00A24E28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30AF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85A1A"/>
    <w:rsid w:val="00CA4C3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EE7B5D"/>
    <w:rsid w:val="00EF3F34"/>
    <w:rsid w:val="00F001E5"/>
    <w:rsid w:val="00F00436"/>
    <w:rsid w:val="00F0162F"/>
    <w:rsid w:val="00F04CC1"/>
    <w:rsid w:val="00F0587D"/>
    <w:rsid w:val="00F12DD6"/>
    <w:rsid w:val="00F13C32"/>
    <w:rsid w:val="00F16326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9EB23-C007-431E-AB52-54E6A29F0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10</Pages>
  <Words>4597</Words>
  <Characters>26205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Цыбульский Денис Александрович</cp:lastModifiedBy>
  <cp:revision>7</cp:revision>
  <dcterms:created xsi:type="dcterms:W3CDTF">2024-02-08T10:45:00Z</dcterms:created>
  <dcterms:modified xsi:type="dcterms:W3CDTF">2025-02-08T05:36:00Z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PSIj}QEyBLFX00002X166m</vt:lpwstr>
  </property>
</Properties>
</file>