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B8A" w:rsidRDefault="00063DFA" w:rsidP="006A342B">
      <w:pPr>
        <w:pStyle w:val="1"/>
        <w:spacing w:before="0" w:beforeAutospacing="0" w:after="0" w:line="240" w:lineRule="atLeast"/>
        <w:ind w:firstLine="567"/>
        <w:jc w:val="center"/>
        <w:rPr>
          <w:rFonts w:ascii="Times New Roman" w:hAnsi="Times New Roman" w:cs="Times New Roman"/>
          <w:sz w:val="32"/>
          <w:szCs w:val="32"/>
        </w:rPr>
      </w:pPr>
      <w:r w:rsidRPr="004A14AA">
        <w:rPr>
          <w:rFonts w:ascii="Times New Roman" w:hAnsi="Times New Roman" w:cs="Times New Roman"/>
          <w:sz w:val="32"/>
          <w:szCs w:val="32"/>
        </w:rPr>
        <w:t xml:space="preserve">Условия процедуры реализации </w:t>
      </w:r>
    </w:p>
    <w:p w:rsidR="00573B8A" w:rsidRDefault="00063DFA" w:rsidP="006A342B">
      <w:pPr>
        <w:pStyle w:val="1"/>
        <w:spacing w:before="0" w:beforeAutospacing="0" w:after="0" w:line="240" w:lineRule="atLeast"/>
        <w:ind w:firstLine="567"/>
        <w:jc w:val="center"/>
        <w:rPr>
          <w:rFonts w:ascii="Times New Roman" w:hAnsi="Times New Roman" w:cs="Times New Roman"/>
          <w:sz w:val="32"/>
          <w:szCs w:val="32"/>
        </w:rPr>
      </w:pPr>
      <w:r w:rsidRPr="004A14AA">
        <w:rPr>
          <w:rFonts w:ascii="Times New Roman" w:hAnsi="Times New Roman" w:cs="Times New Roman"/>
          <w:sz w:val="32"/>
          <w:szCs w:val="32"/>
        </w:rPr>
        <w:t xml:space="preserve">лома </w:t>
      </w:r>
      <w:r w:rsidR="00573B8A">
        <w:rPr>
          <w:rFonts w:ascii="Times New Roman" w:hAnsi="Times New Roman" w:cs="Times New Roman"/>
          <w:sz w:val="32"/>
          <w:szCs w:val="32"/>
        </w:rPr>
        <w:t xml:space="preserve">и отходов стальных </w:t>
      </w:r>
      <w:r w:rsidRPr="004A14AA">
        <w:rPr>
          <w:rFonts w:ascii="Times New Roman" w:hAnsi="Times New Roman" w:cs="Times New Roman"/>
          <w:sz w:val="32"/>
          <w:szCs w:val="32"/>
        </w:rPr>
        <w:t>металлов</w:t>
      </w:r>
    </w:p>
    <w:p w:rsidR="00063DFA" w:rsidRDefault="00573B8A" w:rsidP="006A342B">
      <w:pPr>
        <w:pStyle w:val="1"/>
        <w:spacing w:before="0" w:beforeAutospacing="0" w:after="0" w:line="240" w:lineRule="atLeast"/>
        <w:ind w:firstLine="567"/>
        <w:jc w:val="center"/>
        <w:rPr>
          <w:rFonts w:ascii="Times New Roman" w:hAnsi="Times New Roman" w:cs="Times New Roman"/>
          <w:sz w:val="32"/>
          <w:szCs w:val="32"/>
        </w:rPr>
      </w:pPr>
      <w:r>
        <w:rPr>
          <w:rFonts w:ascii="Times New Roman" w:hAnsi="Times New Roman" w:cs="Times New Roman"/>
          <w:sz w:val="32"/>
          <w:szCs w:val="32"/>
        </w:rPr>
        <w:t>Оренбургского</w:t>
      </w:r>
      <w:r w:rsidR="009C1AD9" w:rsidRPr="004A14AA">
        <w:rPr>
          <w:rFonts w:ascii="Times New Roman" w:hAnsi="Times New Roman" w:cs="Times New Roman"/>
          <w:sz w:val="32"/>
          <w:szCs w:val="32"/>
        </w:rPr>
        <w:t xml:space="preserve"> </w:t>
      </w:r>
      <w:r>
        <w:rPr>
          <w:rFonts w:ascii="Times New Roman" w:hAnsi="Times New Roman" w:cs="Times New Roman"/>
          <w:sz w:val="32"/>
          <w:szCs w:val="32"/>
        </w:rPr>
        <w:t>ф</w:t>
      </w:r>
      <w:r w:rsidR="009C1AD9" w:rsidRPr="004A14AA">
        <w:rPr>
          <w:rFonts w:ascii="Times New Roman" w:hAnsi="Times New Roman" w:cs="Times New Roman"/>
          <w:sz w:val="32"/>
          <w:szCs w:val="32"/>
        </w:rPr>
        <w:t>илиал</w:t>
      </w:r>
      <w:r w:rsidR="00063DFA" w:rsidRPr="004A14AA">
        <w:rPr>
          <w:rFonts w:ascii="Times New Roman" w:hAnsi="Times New Roman" w:cs="Times New Roman"/>
          <w:sz w:val="32"/>
          <w:szCs w:val="32"/>
        </w:rPr>
        <w:t>а</w:t>
      </w:r>
      <w:r w:rsidR="009C1AD9" w:rsidRPr="004A14AA">
        <w:rPr>
          <w:rFonts w:ascii="Times New Roman" w:hAnsi="Times New Roman" w:cs="Times New Roman"/>
          <w:sz w:val="32"/>
          <w:szCs w:val="32"/>
        </w:rPr>
        <w:t xml:space="preserve"> ООО «РН-Бурение»</w:t>
      </w:r>
    </w:p>
    <w:p w:rsidR="005432E9" w:rsidRPr="004A14AA" w:rsidRDefault="005432E9" w:rsidP="006A342B">
      <w:pPr>
        <w:pStyle w:val="1"/>
        <w:spacing w:before="0" w:beforeAutospacing="0" w:after="0" w:line="240" w:lineRule="atLeast"/>
        <w:ind w:firstLine="567"/>
        <w:jc w:val="center"/>
        <w:rPr>
          <w:rFonts w:ascii="Times New Roman" w:hAnsi="Times New Roman" w:cs="Times New Roman"/>
          <w:sz w:val="32"/>
          <w:szCs w:val="32"/>
        </w:rPr>
      </w:pPr>
      <w:r>
        <w:rPr>
          <w:rFonts w:ascii="Times New Roman" w:hAnsi="Times New Roman" w:cs="Times New Roman"/>
          <w:sz w:val="32"/>
          <w:szCs w:val="32"/>
        </w:rPr>
        <w:t xml:space="preserve">в </w:t>
      </w:r>
      <w:r w:rsidR="00A72489">
        <w:rPr>
          <w:rFonts w:ascii="Times New Roman" w:hAnsi="Times New Roman" w:cs="Times New Roman"/>
          <w:sz w:val="32"/>
          <w:szCs w:val="32"/>
        </w:rPr>
        <w:t>марте-апреле</w:t>
      </w:r>
      <w:r>
        <w:rPr>
          <w:rFonts w:ascii="Times New Roman" w:hAnsi="Times New Roman" w:cs="Times New Roman"/>
          <w:sz w:val="32"/>
          <w:szCs w:val="32"/>
        </w:rPr>
        <w:t xml:space="preserve"> 202</w:t>
      </w:r>
      <w:r w:rsidR="00A72489">
        <w:rPr>
          <w:rFonts w:ascii="Times New Roman" w:hAnsi="Times New Roman" w:cs="Times New Roman"/>
          <w:sz w:val="32"/>
          <w:szCs w:val="32"/>
        </w:rPr>
        <w:t>5</w:t>
      </w:r>
      <w:r>
        <w:rPr>
          <w:rFonts w:ascii="Times New Roman" w:hAnsi="Times New Roman" w:cs="Times New Roman"/>
          <w:sz w:val="32"/>
          <w:szCs w:val="32"/>
        </w:rPr>
        <w:t>г.</w:t>
      </w:r>
    </w:p>
    <w:p w:rsidR="00063DFA" w:rsidRPr="004A14AA" w:rsidRDefault="00063DFA" w:rsidP="006A342B">
      <w:pPr>
        <w:pStyle w:val="1"/>
        <w:spacing w:after="0" w:line="240" w:lineRule="atLeast"/>
        <w:ind w:firstLine="567"/>
        <w:jc w:val="center"/>
        <w:rPr>
          <w:rFonts w:ascii="Times New Roman" w:hAnsi="Times New Roman" w:cs="Times New Roman"/>
          <w:sz w:val="24"/>
          <w:szCs w:val="24"/>
        </w:rPr>
      </w:pPr>
    </w:p>
    <w:p w:rsidR="00063DFA" w:rsidRPr="004A14AA" w:rsidRDefault="00994660" w:rsidP="000424E9">
      <w:r w:rsidRPr="004A14AA">
        <w:t>[срок подачи документов</w:t>
      </w:r>
      <w:r w:rsidR="00EE236B">
        <w:t>:</w:t>
      </w:r>
      <w:r w:rsidRPr="004A14AA">
        <w:t xml:space="preserve"> с </w:t>
      </w:r>
      <w:r w:rsidR="00A72489">
        <w:t>05</w:t>
      </w:r>
      <w:r w:rsidR="00474625">
        <w:t>.0</w:t>
      </w:r>
      <w:r w:rsidR="00A72489">
        <w:t>3</w:t>
      </w:r>
      <w:r w:rsidR="00474625">
        <w:t>.202</w:t>
      </w:r>
      <w:r w:rsidR="00A72489">
        <w:t>5</w:t>
      </w:r>
      <w:r w:rsidRPr="004A14AA">
        <w:t xml:space="preserve"> по</w:t>
      </w:r>
      <w:r w:rsidR="00C73C80" w:rsidRPr="004A14AA">
        <w:t xml:space="preserve"> </w:t>
      </w:r>
      <w:r w:rsidR="00A72489">
        <w:t>26</w:t>
      </w:r>
      <w:r w:rsidR="009D4DBC" w:rsidRPr="004A14AA">
        <w:t>.</w:t>
      </w:r>
      <w:r w:rsidR="004451FB">
        <w:t>0</w:t>
      </w:r>
      <w:r w:rsidR="00A72489">
        <w:t>3</w:t>
      </w:r>
      <w:r w:rsidR="00E64655" w:rsidRPr="004A14AA">
        <w:t>.20</w:t>
      </w:r>
      <w:r w:rsidR="00063DFA" w:rsidRPr="004A14AA">
        <w:t>2</w:t>
      </w:r>
      <w:r w:rsidR="00A72489">
        <w:t>5</w:t>
      </w:r>
      <w:r w:rsidR="004451FB">
        <w:t xml:space="preserve"> (16.00 мск.)</w:t>
      </w:r>
      <w:r w:rsidRPr="004A14AA">
        <w:t>]</w:t>
      </w:r>
    </w:p>
    <w:tbl>
      <w:tblPr>
        <w:tblW w:w="4818" w:type="pct"/>
        <w:tblCellSpacing w:w="0" w:type="dxa"/>
        <w:tblInd w:w="113" w:type="dxa"/>
        <w:tblCellMar>
          <w:left w:w="0" w:type="dxa"/>
          <w:right w:w="0" w:type="dxa"/>
        </w:tblCellMar>
        <w:tblLook w:val="0000" w:firstRow="0" w:lastRow="0" w:firstColumn="0" w:lastColumn="0" w:noHBand="0" w:noVBand="0"/>
      </w:tblPr>
      <w:tblGrid>
        <w:gridCol w:w="2352"/>
        <w:gridCol w:w="7472"/>
      </w:tblGrid>
      <w:tr w:rsidR="00994660" w:rsidRPr="004A14AA" w:rsidTr="007C43B2">
        <w:trPr>
          <w:trHeight w:val="578"/>
          <w:tblCellSpacing w:w="0" w:type="dxa"/>
        </w:trPr>
        <w:tc>
          <w:tcPr>
            <w:tcW w:w="5000" w:type="pct"/>
            <w:gridSpan w:val="2"/>
            <w:tcBorders>
              <w:top w:val="single" w:sz="12" w:space="0" w:color="CCD0D4"/>
              <w:left w:val="single" w:sz="4" w:space="0" w:color="CCD0D4"/>
              <w:bottom w:val="single" w:sz="4" w:space="0" w:color="CCD0D4"/>
              <w:right w:val="single" w:sz="4" w:space="0" w:color="CCD0D4"/>
            </w:tcBorders>
            <w:shd w:val="clear" w:color="auto" w:fill="F9F9F9"/>
            <w:tcMar>
              <w:top w:w="64" w:type="dxa"/>
              <w:left w:w="103" w:type="dxa"/>
              <w:bottom w:w="64" w:type="dxa"/>
              <w:right w:w="103" w:type="dxa"/>
            </w:tcMar>
            <w:vAlign w:val="center"/>
          </w:tcPr>
          <w:tbl>
            <w:tblPr>
              <w:tblW w:w="5000" w:type="pct"/>
              <w:tblCellSpacing w:w="0" w:type="dxa"/>
              <w:tblCellMar>
                <w:left w:w="0" w:type="dxa"/>
                <w:right w:w="0" w:type="dxa"/>
              </w:tblCellMar>
              <w:tblLook w:val="0000" w:firstRow="0" w:lastRow="0" w:firstColumn="0" w:lastColumn="0" w:noHBand="0" w:noVBand="0"/>
            </w:tblPr>
            <w:tblGrid>
              <w:gridCol w:w="9598"/>
            </w:tblGrid>
            <w:tr w:rsidR="00994660" w:rsidRPr="004A14AA">
              <w:trPr>
                <w:tblCellSpacing w:w="0" w:type="dxa"/>
              </w:trPr>
              <w:tc>
                <w:tcPr>
                  <w:tcW w:w="0" w:type="auto"/>
                </w:tcPr>
                <w:p w:rsidR="004451FB" w:rsidRDefault="004451FB" w:rsidP="004451FB">
                  <w:pPr>
                    <w:pStyle w:val="Default"/>
                    <w:rPr>
                      <w:sz w:val="23"/>
                      <w:szCs w:val="23"/>
                    </w:rPr>
                  </w:pPr>
                  <w:r>
                    <w:rPr>
                      <w:b/>
                      <w:bCs/>
                      <w:sz w:val="23"/>
                      <w:szCs w:val="23"/>
                    </w:rPr>
                    <w:t xml:space="preserve">Организатор процедуры реализации: ООО «РН-Бурение» </w:t>
                  </w:r>
                </w:p>
                <w:p w:rsidR="00994660" w:rsidRPr="004A14AA" w:rsidRDefault="004451FB" w:rsidP="004451FB">
                  <w:pPr>
                    <w:rPr>
                      <w:b/>
                      <w:bCs/>
                      <w:color w:val="E6E6E6"/>
                    </w:rPr>
                  </w:pPr>
                  <w:r>
                    <w:rPr>
                      <w:b/>
                      <w:bCs/>
                      <w:sz w:val="23"/>
                      <w:szCs w:val="23"/>
                    </w:rPr>
                    <w:t xml:space="preserve">Заказчик (Держатель запасов): </w:t>
                  </w:r>
                  <w:r w:rsidRPr="004451FB">
                    <w:rPr>
                      <w:b/>
                      <w:bCs/>
                      <w:sz w:val="23"/>
                      <w:szCs w:val="23"/>
                    </w:rPr>
                    <w:t>Оренбургск</w:t>
                  </w:r>
                  <w:r>
                    <w:rPr>
                      <w:b/>
                      <w:bCs/>
                      <w:sz w:val="23"/>
                      <w:szCs w:val="23"/>
                    </w:rPr>
                    <w:t>ий</w:t>
                  </w:r>
                  <w:r w:rsidRPr="004451FB">
                    <w:rPr>
                      <w:b/>
                      <w:bCs/>
                      <w:sz w:val="23"/>
                      <w:szCs w:val="23"/>
                    </w:rPr>
                    <w:t xml:space="preserve"> филиал ООО «РН-Бурение»</w:t>
                  </w:r>
                </w:p>
              </w:tc>
            </w:tr>
          </w:tbl>
          <w:p w:rsidR="00994660" w:rsidRPr="004A14AA" w:rsidRDefault="00994660" w:rsidP="006A342B">
            <w:pPr>
              <w:spacing w:after="129"/>
              <w:ind w:firstLine="567"/>
            </w:pPr>
          </w:p>
        </w:tc>
      </w:tr>
      <w:tr w:rsidR="00063DFA" w:rsidRPr="004A14AA" w:rsidTr="007C43B2">
        <w:trPr>
          <w:trHeight w:val="201"/>
          <w:tblCellSpacing w:w="0" w:type="dxa"/>
        </w:trPr>
        <w:tc>
          <w:tcPr>
            <w:tcW w:w="5000" w:type="pct"/>
            <w:gridSpan w:val="2"/>
            <w:tcBorders>
              <w:left w:val="single" w:sz="4" w:space="0" w:color="CCD0D4"/>
              <w:bottom w:val="single" w:sz="12" w:space="0" w:color="CCD0D4"/>
              <w:right w:val="single" w:sz="4" w:space="0" w:color="CCD0D4"/>
            </w:tcBorders>
            <w:shd w:val="clear" w:color="auto" w:fill="FFFFFF"/>
            <w:tcMar>
              <w:top w:w="103" w:type="dxa"/>
              <w:left w:w="103" w:type="dxa"/>
              <w:bottom w:w="103" w:type="dxa"/>
              <w:right w:w="103" w:type="dxa"/>
            </w:tcMar>
          </w:tcPr>
          <w:p w:rsidR="00063DFA" w:rsidRPr="004A14AA" w:rsidRDefault="00063DFA" w:rsidP="006A342B">
            <w:pPr>
              <w:spacing w:after="129"/>
              <w:rPr>
                <w:b/>
                <w:bCs/>
                <w:color w:val="1D2F44"/>
              </w:rPr>
            </w:pPr>
            <w:r w:rsidRPr="004A14AA">
              <w:rPr>
                <w:b/>
                <w:bCs/>
                <w:color w:val="1D2F44"/>
              </w:rPr>
              <w:t>Плановые сроки вывоза имущества: в течении 3-х месяцев с момента заключения договора</w:t>
            </w:r>
          </w:p>
        </w:tc>
      </w:tr>
      <w:tr w:rsidR="00726C69" w:rsidRPr="004A14AA" w:rsidTr="007C43B2">
        <w:trPr>
          <w:trHeight w:val="783"/>
          <w:tblCellSpacing w:w="0" w:type="dxa"/>
        </w:trPr>
        <w:tc>
          <w:tcPr>
            <w:tcW w:w="1197" w:type="pct"/>
            <w:tcBorders>
              <w:left w:val="single" w:sz="4" w:space="0" w:color="CCD0D4"/>
              <w:bottom w:val="single" w:sz="12" w:space="0" w:color="CCD0D4"/>
            </w:tcBorders>
            <w:shd w:val="clear" w:color="auto" w:fill="FFFFFF"/>
            <w:tcMar>
              <w:top w:w="103" w:type="dxa"/>
              <w:left w:w="103" w:type="dxa"/>
              <w:bottom w:w="103" w:type="dxa"/>
              <w:right w:w="103" w:type="dxa"/>
            </w:tcMar>
          </w:tcPr>
          <w:p w:rsidR="00726C69" w:rsidRPr="004A14AA" w:rsidRDefault="00726C69" w:rsidP="006A342B">
            <w:pPr>
              <w:spacing w:after="129"/>
              <w:rPr>
                <w:b/>
                <w:bCs/>
                <w:color w:val="1D2F44"/>
                <w:lang w:val="en-US"/>
              </w:rPr>
            </w:pPr>
            <w:r w:rsidRPr="004A14AA">
              <w:rPr>
                <w:b/>
                <w:bCs/>
                <w:color w:val="1D2F44"/>
              </w:rPr>
              <w:t>Предмет квалификации</w:t>
            </w:r>
            <w:r w:rsidRPr="004A14AA">
              <w:rPr>
                <w:b/>
                <w:bCs/>
                <w:color w:val="1D2F44"/>
                <w:lang w:val="en-US"/>
              </w:rPr>
              <w:t>:</w:t>
            </w:r>
          </w:p>
        </w:tc>
        <w:tc>
          <w:tcPr>
            <w:tcW w:w="3803" w:type="pct"/>
            <w:tcBorders>
              <w:left w:val="single" w:sz="12" w:space="0" w:color="CCD0D4"/>
              <w:bottom w:val="single" w:sz="12" w:space="0" w:color="CCD0D4"/>
              <w:right w:val="single" w:sz="4" w:space="0" w:color="CCD0D4"/>
            </w:tcBorders>
            <w:shd w:val="clear" w:color="auto" w:fill="FFFFFF"/>
            <w:tcMar>
              <w:top w:w="103" w:type="dxa"/>
              <w:left w:w="103" w:type="dxa"/>
              <w:bottom w:w="103" w:type="dxa"/>
              <w:right w:w="103" w:type="dxa"/>
            </w:tcMar>
          </w:tcPr>
          <w:p w:rsidR="00E15BB8" w:rsidRPr="004A14AA" w:rsidRDefault="004451FB" w:rsidP="004451FB">
            <w:pPr>
              <w:spacing w:after="129"/>
              <w:ind w:firstLine="13"/>
              <w:rPr>
                <w:bCs/>
                <w:color w:val="1D2F44"/>
              </w:rPr>
            </w:pPr>
            <w:r w:rsidRPr="004451FB">
              <w:t>Соответствие участников требованиям процедуры реализаци</w:t>
            </w:r>
            <w:r>
              <w:t>и</w:t>
            </w:r>
            <w:r w:rsidRPr="004451FB">
              <w:t xml:space="preserve"> лом</w:t>
            </w:r>
            <w:r>
              <w:t>а и отходов</w:t>
            </w:r>
            <w:r w:rsidRPr="004451FB">
              <w:t xml:space="preserve"> </w:t>
            </w:r>
            <w:r>
              <w:t>стальных</w:t>
            </w:r>
            <w:r w:rsidRPr="004451FB">
              <w:t xml:space="preserve"> металлов, находящихся на балансе </w:t>
            </w:r>
            <w:r>
              <w:t>Оренбургского филиала ООО «РН-Бурение»</w:t>
            </w:r>
            <w:r w:rsidR="00E15BB8">
              <w:t>.</w:t>
            </w:r>
          </w:p>
        </w:tc>
      </w:tr>
      <w:tr w:rsidR="00D71B8E" w:rsidRPr="004A14AA" w:rsidTr="007C43B2">
        <w:trPr>
          <w:trHeight w:val="20"/>
          <w:tblCellSpacing w:w="0" w:type="dxa"/>
        </w:trPr>
        <w:tc>
          <w:tcPr>
            <w:tcW w:w="1197" w:type="pct"/>
            <w:tcBorders>
              <w:left w:val="single" w:sz="4" w:space="0" w:color="CCD0D4"/>
              <w:bottom w:val="single" w:sz="12" w:space="0" w:color="CCD0D4"/>
            </w:tcBorders>
            <w:shd w:val="clear" w:color="auto" w:fill="FFFFFF"/>
            <w:tcMar>
              <w:top w:w="103" w:type="dxa"/>
              <w:left w:w="103" w:type="dxa"/>
              <w:bottom w:w="103" w:type="dxa"/>
              <w:right w:w="103" w:type="dxa"/>
            </w:tcMar>
          </w:tcPr>
          <w:p w:rsidR="00994660" w:rsidRPr="004A14AA" w:rsidRDefault="00D76B89" w:rsidP="006A342B">
            <w:pPr>
              <w:spacing w:after="129"/>
              <w:rPr>
                <w:b/>
                <w:bCs/>
                <w:color w:val="1D2F44"/>
              </w:rPr>
            </w:pPr>
            <w:r w:rsidRPr="004A14AA">
              <w:rPr>
                <w:b/>
                <w:bCs/>
                <w:color w:val="1D2F44"/>
              </w:rPr>
              <w:t xml:space="preserve">Предмет </w:t>
            </w:r>
            <w:r w:rsidR="00726C69" w:rsidRPr="004A14AA">
              <w:rPr>
                <w:b/>
                <w:bCs/>
                <w:color w:val="1D2F44"/>
              </w:rPr>
              <w:t>реализации</w:t>
            </w:r>
          </w:p>
        </w:tc>
        <w:tc>
          <w:tcPr>
            <w:tcW w:w="3803" w:type="pct"/>
            <w:tcBorders>
              <w:left w:val="single" w:sz="12" w:space="0" w:color="CCD0D4"/>
              <w:bottom w:val="single" w:sz="12" w:space="0" w:color="CCD0D4"/>
              <w:right w:val="single" w:sz="4" w:space="0" w:color="CCD0D4"/>
            </w:tcBorders>
            <w:shd w:val="clear" w:color="auto" w:fill="FFFFFF"/>
            <w:tcMar>
              <w:top w:w="103" w:type="dxa"/>
              <w:left w:w="103" w:type="dxa"/>
              <w:bottom w:w="103" w:type="dxa"/>
              <w:right w:w="103" w:type="dxa"/>
            </w:tcMar>
          </w:tcPr>
          <w:tbl>
            <w:tblPr>
              <w:tblW w:w="0" w:type="auto"/>
              <w:tblBorders>
                <w:top w:val="nil"/>
                <w:left w:val="nil"/>
                <w:bottom w:val="nil"/>
                <w:right w:val="nil"/>
              </w:tblBorders>
              <w:tblLook w:val="0000" w:firstRow="0" w:lastRow="0" w:firstColumn="0" w:lastColumn="0" w:noHBand="0" w:noVBand="0"/>
            </w:tblPr>
            <w:tblGrid>
              <w:gridCol w:w="7226"/>
            </w:tblGrid>
            <w:tr w:rsidR="004451FB">
              <w:trPr>
                <w:trHeight w:val="220"/>
              </w:trPr>
              <w:tc>
                <w:tcPr>
                  <w:tcW w:w="0" w:type="auto"/>
                </w:tcPr>
                <w:p w:rsidR="00A72489" w:rsidRDefault="00A72489" w:rsidP="00A72489">
                  <w:pPr>
                    <w:pStyle w:val="Default"/>
                    <w:ind w:left="-91"/>
                    <w:jc w:val="both"/>
                    <w:rPr>
                      <w:b/>
                      <w:bCs/>
                      <w:color w:val="1D2F44"/>
                    </w:rPr>
                  </w:pPr>
                  <w:r w:rsidRPr="004451FB">
                    <w:rPr>
                      <w:b/>
                      <w:bCs/>
                      <w:color w:val="1D2F44"/>
                    </w:rPr>
                    <w:t xml:space="preserve">Лот №1 (неделимый) Лом и отходы стальных металлов на территории Оренбургской </w:t>
                  </w:r>
                  <w:r>
                    <w:rPr>
                      <w:b/>
                      <w:bCs/>
                      <w:color w:val="1D2F44"/>
                    </w:rPr>
                    <w:t>и Самарской областей (801,000 т.).</w:t>
                  </w:r>
                </w:p>
                <w:p w:rsidR="00A72489" w:rsidRDefault="00A72489" w:rsidP="00A72489">
                  <w:pPr>
                    <w:pStyle w:val="Default"/>
                    <w:ind w:left="-91"/>
                    <w:jc w:val="both"/>
                    <w:rPr>
                      <w:b/>
                      <w:bCs/>
                      <w:color w:val="1D2F44"/>
                    </w:rPr>
                  </w:pPr>
                </w:p>
                <w:p w:rsidR="00A72489" w:rsidRDefault="00A72489" w:rsidP="00A72489">
                  <w:pPr>
                    <w:pStyle w:val="Default"/>
                    <w:ind w:left="-91"/>
                    <w:jc w:val="both"/>
                    <w:rPr>
                      <w:b/>
                      <w:bCs/>
                      <w:color w:val="1D2F44"/>
                    </w:rPr>
                  </w:pPr>
                  <w:r w:rsidRPr="00000501">
                    <w:rPr>
                      <w:b/>
                      <w:bCs/>
                      <w:color w:val="1D2F44"/>
                    </w:rPr>
                    <w:t xml:space="preserve">Лом </w:t>
                  </w:r>
                  <w:r>
                    <w:rPr>
                      <w:b/>
                      <w:bCs/>
                      <w:color w:val="1D2F44"/>
                    </w:rPr>
                    <w:t xml:space="preserve">и отходы стальных металлов находятся </w:t>
                  </w:r>
                  <w:r w:rsidRPr="00000501">
                    <w:rPr>
                      <w:b/>
                      <w:bCs/>
                      <w:color w:val="1D2F44"/>
                    </w:rPr>
                    <w:t xml:space="preserve">в составе </w:t>
                  </w:r>
                  <w:r>
                    <w:rPr>
                      <w:b/>
                      <w:bCs/>
                      <w:color w:val="1D2F44"/>
                    </w:rPr>
                    <w:t xml:space="preserve">267 </w:t>
                  </w:r>
                  <w:r w:rsidRPr="00000501">
                    <w:rPr>
                      <w:b/>
                      <w:bCs/>
                      <w:color w:val="1D2F44"/>
                    </w:rPr>
                    <w:t xml:space="preserve">ед. вагон-домов, требующих утилизации и разбраковки для </w:t>
                  </w:r>
                  <w:r>
                    <w:rPr>
                      <w:b/>
                      <w:bCs/>
                      <w:color w:val="1D2F44"/>
                    </w:rPr>
                    <w:t>его извлечения</w:t>
                  </w:r>
                  <w:r w:rsidRPr="00000501">
                    <w:rPr>
                      <w:b/>
                      <w:bCs/>
                      <w:color w:val="1D2F44"/>
                    </w:rPr>
                    <w:t xml:space="preserve">. Порядок </w:t>
                  </w:r>
                  <w:r>
                    <w:rPr>
                      <w:b/>
                      <w:bCs/>
                      <w:color w:val="1D2F44"/>
                    </w:rPr>
                    <w:t xml:space="preserve">утилизации </w:t>
                  </w:r>
                  <w:r w:rsidRPr="00000501">
                    <w:rPr>
                      <w:b/>
                      <w:bCs/>
                      <w:color w:val="1D2F44"/>
                    </w:rPr>
                    <w:t>установлен в Приложении №8.</w:t>
                  </w:r>
                </w:p>
                <w:p w:rsidR="004451FB" w:rsidRPr="004451FB" w:rsidRDefault="004451FB" w:rsidP="00225311">
                  <w:pPr>
                    <w:pStyle w:val="Default"/>
                    <w:ind w:left="-91"/>
                    <w:jc w:val="both"/>
                  </w:pPr>
                </w:p>
              </w:tc>
            </w:tr>
          </w:tbl>
          <w:p w:rsidR="00E15BB8" w:rsidRPr="00E15BB8" w:rsidRDefault="00E15BB8" w:rsidP="0003137B">
            <w:pPr>
              <w:jc w:val="both"/>
            </w:pPr>
          </w:p>
        </w:tc>
      </w:tr>
      <w:tr w:rsidR="00811CD0" w:rsidRPr="004A14AA" w:rsidTr="007C43B2">
        <w:trPr>
          <w:tblCellSpacing w:w="0" w:type="dxa"/>
        </w:trPr>
        <w:tc>
          <w:tcPr>
            <w:tcW w:w="1197" w:type="pct"/>
            <w:tcBorders>
              <w:top w:val="single" w:sz="12" w:space="0" w:color="CCD0D4"/>
              <w:left w:val="single" w:sz="4" w:space="0" w:color="CCD0D4"/>
              <w:bottom w:val="single" w:sz="12" w:space="0" w:color="CCD0D4"/>
            </w:tcBorders>
            <w:shd w:val="clear" w:color="auto" w:fill="FFFFFF"/>
            <w:tcMar>
              <w:top w:w="64" w:type="dxa"/>
              <w:left w:w="103" w:type="dxa"/>
              <w:bottom w:w="64" w:type="dxa"/>
              <w:right w:w="103" w:type="dxa"/>
            </w:tcMar>
          </w:tcPr>
          <w:p w:rsidR="001B00BA" w:rsidRPr="004A14AA" w:rsidRDefault="00726C69" w:rsidP="006A342B">
            <w:pPr>
              <w:spacing w:after="129"/>
              <w:rPr>
                <w:b/>
                <w:bCs/>
                <w:color w:val="1D2F44"/>
              </w:rPr>
            </w:pPr>
            <w:r w:rsidRPr="004A14AA">
              <w:rPr>
                <w:b/>
                <w:bCs/>
                <w:color w:val="1D2F44"/>
              </w:rPr>
              <w:t xml:space="preserve">Условия оплаты </w:t>
            </w:r>
            <w:r w:rsidR="00464A3E">
              <w:rPr>
                <w:b/>
                <w:bCs/>
                <w:color w:val="1D2F44"/>
              </w:rPr>
              <w:t>и отгрузки</w:t>
            </w:r>
          </w:p>
          <w:p w:rsidR="001B00BA" w:rsidRPr="004A14AA" w:rsidRDefault="001B00BA" w:rsidP="006A342B">
            <w:pPr>
              <w:spacing w:after="129"/>
              <w:ind w:firstLine="567"/>
              <w:rPr>
                <w:b/>
                <w:bCs/>
                <w:color w:val="23446A"/>
              </w:rPr>
            </w:pPr>
          </w:p>
        </w:tc>
        <w:tc>
          <w:tcPr>
            <w:tcW w:w="3803" w:type="pct"/>
            <w:tcBorders>
              <w:top w:val="single" w:sz="12" w:space="0" w:color="CCD0D4"/>
              <w:left w:val="single" w:sz="12" w:space="0" w:color="CCD0D4"/>
              <w:bottom w:val="single" w:sz="12" w:space="0" w:color="CCD0D4"/>
              <w:right w:val="single" w:sz="4" w:space="0" w:color="CCD0D4"/>
            </w:tcBorders>
            <w:shd w:val="clear" w:color="auto" w:fill="FFFFFF"/>
            <w:tcMar>
              <w:top w:w="64" w:type="dxa"/>
              <w:left w:w="103" w:type="dxa"/>
              <w:bottom w:w="64" w:type="dxa"/>
              <w:right w:w="103" w:type="dxa"/>
            </w:tcMar>
          </w:tcPr>
          <w:p w:rsidR="004D1211" w:rsidRDefault="00464A3E" w:rsidP="00464A3E">
            <w:pPr>
              <w:spacing w:after="129"/>
              <w:ind w:firstLine="13"/>
              <w:jc w:val="both"/>
            </w:pPr>
            <w:r>
              <w:t xml:space="preserve">Условие оплаты и вывоза: </w:t>
            </w:r>
          </w:p>
          <w:p w:rsidR="00464A3E" w:rsidRDefault="00464A3E" w:rsidP="00464A3E">
            <w:pPr>
              <w:spacing w:after="129"/>
              <w:ind w:firstLine="13"/>
              <w:jc w:val="both"/>
            </w:pPr>
            <w:r>
              <w:t>Предварительная оплата двумя частями:</w:t>
            </w:r>
          </w:p>
          <w:p w:rsidR="00464A3E" w:rsidRDefault="00464A3E" w:rsidP="00464A3E">
            <w:pPr>
              <w:spacing w:after="129"/>
              <w:ind w:firstLine="13"/>
              <w:jc w:val="both"/>
            </w:pPr>
            <w:r w:rsidRPr="004D1211">
              <w:rPr>
                <w:b/>
              </w:rPr>
              <w:t>1 часть</w:t>
            </w:r>
            <w:r>
              <w:t xml:space="preserve"> – 50% предоплата (в течение 10 банковский дней со дня получения счета на предварительную оплату), вывоз товара в объеме 40% от общей стоимости лота в течение 45 календарных дней с момента поступления оплаты;</w:t>
            </w:r>
          </w:p>
          <w:p w:rsidR="008418FF" w:rsidRPr="004A14AA" w:rsidRDefault="00464A3E" w:rsidP="00464A3E">
            <w:pPr>
              <w:spacing w:after="129"/>
              <w:ind w:firstLine="13"/>
              <w:jc w:val="both"/>
              <w:rPr>
                <w:color w:val="23446A"/>
              </w:rPr>
            </w:pPr>
            <w:r w:rsidRPr="004D1211">
              <w:rPr>
                <w:b/>
              </w:rPr>
              <w:t>2 часть</w:t>
            </w:r>
            <w:r>
              <w:t xml:space="preserve"> – оплата оставшихся 50% (не позднее 45 календарных дней с момента осуществления оплаты первых 50% стоимости), вывоз оставшегося оплаченного товара в объеме 60% от общей стоимости лота в течение 45 календарных дней с момента поступления оставшейся оплаты.</w:t>
            </w:r>
          </w:p>
        </w:tc>
      </w:tr>
      <w:tr w:rsidR="00726C69" w:rsidRPr="004A14AA" w:rsidTr="007C43B2">
        <w:trPr>
          <w:trHeight w:val="1407"/>
          <w:tblCellSpacing w:w="0" w:type="dxa"/>
        </w:trPr>
        <w:tc>
          <w:tcPr>
            <w:tcW w:w="1197" w:type="pct"/>
            <w:tcBorders>
              <w:top w:val="single" w:sz="12" w:space="0" w:color="CCD0D4"/>
              <w:left w:val="single" w:sz="4" w:space="0" w:color="CCD0D4"/>
              <w:bottom w:val="single" w:sz="12" w:space="0" w:color="CCD0D4"/>
            </w:tcBorders>
            <w:shd w:val="clear" w:color="auto" w:fill="FFFFFF"/>
            <w:tcMar>
              <w:top w:w="64" w:type="dxa"/>
              <w:left w:w="103" w:type="dxa"/>
              <w:bottom w:w="64" w:type="dxa"/>
              <w:right w:w="103" w:type="dxa"/>
            </w:tcMar>
          </w:tcPr>
          <w:p w:rsidR="00726C69" w:rsidRPr="004A14AA" w:rsidRDefault="00726C69" w:rsidP="006A342B">
            <w:pPr>
              <w:spacing w:after="129"/>
              <w:rPr>
                <w:b/>
                <w:bCs/>
                <w:color w:val="23446A"/>
              </w:rPr>
            </w:pPr>
            <w:r w:rsidRPr="004A14AA">
              <w:rPr>
                <w:b/>
                <w:bCs/>
                <w:color w:val="1D2F44"/>
              </w:rPr>
              <w:t>Базис отгрузки</w:t>
            </w:r>
          </w:p>
        </w:tc>
        <w:tc>
          <w:tcPr>
            <w:tcW w:w="3803" w:type="pct"/>
            <w:tcBorders>
              <w:top w:val="single" w:sz="12" w:space="0" w:color="CCD0D4"/>
              <w:left w:val="single" w:sz="12" w:space="0" w:color="CCD0D4"/>
              <w:bottom w:val="single" w:sz="12" w:space="0" w:color="CCD0D4"/>
              <w:right w:val="single" w:sz="4" w:space="0" w:color="CCD0D4"/>
            </w:tcBorders>
            <w:shd w:val="clear" w:color="auto" w:fill="FFFFFF"/>
            <w:tcMar>
              <w:top w:w="64" w:type="dxa"/>
              <w:left w:w="103" w:type="dxa"/>
              <w:bottom w:w="64" w:type="dxa"/>
              <w:right w:w="103" w:type="dxa"/>
            </w:tcMar>
          </w:tcPr>
          <w:p w:rsidR="00A72489" w:rsidRDefault="00A72489" w:rsidP="00A72489">
            <w:pPr>
              <w:spacing w:after="129"/>
              <w:ind w:firstLine="13"/>
            </w:pPr>
            <w:r>
              <w:t>Ф</w:t>
            </w:r>
            <w:r w:rsidRPr="004D1211">
              <w:t>ранко склад Продавца (Приложение №1</w:t>
            </w:r>
            <w:r>
              <w:t>.1.-1.2.</w:t>
            </w:r>
            <w:r w:rsidRPr="004D1211">
              <w:t>)</w:t>
            </w:r>
          </w:p>
          <w:p w:rsidR="00A72489" w:rsidRDefault="00A72489" w:rsidP="00A72489">
            <w:pPr>
              <w:spacing w:after="129"/>
              <w:ind w:firstLine="13"/>
            </w:pPr>
            <w:r w:rsidRPr="000424E9">
              <w:t xml:space="preserve">Проведение погрузо-разгрузочных работ, вывоз имущества, а также проведение работ по резке и демонтажу (при наличии </w:t>
            </w:r>
            <w:r w:rsidR="00E56633">
              <w:t>н</w:t>
            </w:r>
            <w:r w:rsidRPr="000424E9">
              <w:t>еобходимости) производится силами и за счет Покупателя</w:t>
            </w:r>
            <w:r>
              <w:t>.</w:t>
            </w:r>
          </w:p>
          <w:p w:rsidR="00A72489" w:rsidRDefault="00A72489" w:rsidP="00A72489">
            <w:pPr>
              <w:spacing w:after="129"/>
              <w:ind w:firstLine="13"/>
              <w:jc w:val="both"/>
            </w:pPr>
            <w:r w:rsidRPr="00000501">
              <w:t>Для извлечения и последующего взвешивания лома и отходов стальных металлов, вагон-дома необходимо утилизировать, привести в состояние, не позволяющее его да</w:t>
            </w:r>
            <w:bookmarkStart w:id="0" w:name="_GoBack"/>
            <w:bookmarkEnd w:id="0"/>
            <w:r w:rsidRPr="00000501">
              <w:t xml:space="preserve">льнейшую эксплуатацию по назначению, извлечь металлолом, зачистить территорию от полученных в результате утилизации мусора и отходов. В среднем от утилизации одного вагон-дома образуется порядка 4 м3 строительного </w:t>
            </w:r>
            <w:r w:rsidRPr="00000501">
              <w:lastRenderedPageBreak/>
              <w:t>мусора и порядка 1 м3 колесных покрышек из вулканизированной резины.</w:t>
            </w:r>
          </w:p>
          <w:p w:rsidR="00726C69" w:rsidRPr="004A14AA" w:rsidRDefault="00A72489" w:rsidP="00A72489">
            <w:pPr>
              <w:spacing w:after="129"/>
              <w:ind w:firstLine="13"/>
              <w:rPr>
                <w:color w:val="23446A"/>
              </w:rPr>
            </w:pPr>
            <w:r w:rsidRPr="009A3C36">
              <w:t xml:space="preserve">Весь объем предоставляемых услуг по утилизации вагон-домов, переданных по актам приема-передачи покупателю, производится </w:t>
            </w:r>
            <w:r>
              <w:t xml:space="preserve">силами и </w:t>
            </w:r>
            <w:r w:rsidRPr="009A3C36">
              <w:t>за счет собственных средств покупателя (погрузка, транспортировка, утилизация, зачистка территории, вывоз мусора и отходов).</w:t>
            </w:r>
          </w:p>
        </w:tc>
      </w:tr>
      <w:tr w:rsidR="009C7254" w:rsidRPr="004A14AA" w:rsidTr="007C43B2">
        <w:trPr>
          <w:trHeight w:val="252"/>
          <w:tblCellSpacing w:w="0" w:type="dxa"/>
        </w:trPr>
        <w:tc>
          <w:tcPr>
            <w:tcW w:w="1197" w:type="pct"/>
            <w:tcBorders>
              <w:top w:val="single" w:sz="12" w:space="0" w:color="CCD0D4"/>
              <w:left w:val="single" w:sz="4" w:space="0" w:color="CCD0D4"/>
              <w:bottom w:val="single" w:sz="12" w:space="0" w:color="CCD0D4"/>
            </w:tcBorders>
            <w:shd w:val="clear" w:color="auto" w:fill="FFFFFF"/>
            <w:tcMar>
              <w:top w:w="64" w:type="dxa"/>
              <w:left w:w="103" w:type="dxa"/>
              <w:bottom w:w="64" w:type="dxa"/>
              <w:right w:w="103" w:type="dxa"/>
            </w:tcMar>
          </w:tcPr>
          <w:p w:rsidR="009C7254" w:rsidRPr="004A14AA" w:rsidRDefault="009C7254" w:rsidP="006A342B">
            <w:pPr>
              <w:spacing w:after="129"/>
              <w:rPr>
                <w:b/>
                <w:bCs/>
                <w:color w:val="1D2F44"/>
              </w:rPr>
            </w:pPr>
            <w:r w:rsidRPr="004A14AA">
              <w:rPr>
                <w:b/>
                <w:bCs/>
                <w:color w:val="1D2F44"/>
              </w:rPr>
              <w:lastRenderedPageBreak/>
              <w:t>Опцион</w:t>
            </w:r>
            <w:r w:rsidR="00A72489">
              <w:rPr>
                <w:b/>
                <w:bCs/>
                <w:color w:val="1D2F44"/>
              </w:rPr>
              <w:t>/толеранс</w:t>
            </w:r>
          </w:p>
        </w:tc>
        <w:tc>
          <w:tcPr>
            <w:tcW w:w="3803" w:type="pct"/>
            <w:tcBorders>
              <w:top w:val="single" w:sz="12" w:space="0" w:color="CCD0D4"/>
              <w:left w:val="single" w:sz="12" w:space="0" w:color="CCD0D4"/>
              <w:bottom w:val="single" w:sz="12" w:space="0" w:color="CCD0D4"/>
              <w:right w:val="single" w:sz="4" w:space="0" w:color="CCD0D4"/>
            </w:tcBorders>
            <w:shd w:val="clear" w:color="auto" w:fill="FFFFFF"/>
            <w:tcMar>
              <w:top w:w="64" w:type="dxa"/>
              <w:left w:w="103" w:type="dxa"/>
              <w:bottom w:w="64" w:type="dxa"/>
              <w:right w:w="103" w:type="dxa"/>
            </w:tcMar>
          </w:tcPr>
          <w:p w:rsidR="009C7254" w:rsidRPr="004A14AA" w:rsidRDefault="00225311" w:rsidP="006A342B">
            <w:pPr>
              <w:spacing w:after="129"/>
              <w:jc w:val="both"/>
              <w:rPr>
                <w:bCs/>
                <w:color w:val="1D2F44"/>
              </w:rPr>
            </w:pPr>
            <w:r w:rsidRPr="00225311">
              <w:t>-5/+5% от объема реализации</w:t>
            </w:r>
          </w:p>
        </w:tc>
      </w:tr>
    </w:tbl>
    <w:p w:rsidR="0003137B" w:rsidRPr="004A14AA" w:rsidRDefault="0003137B" w:rsidP="0003137B">
      <w:pPr>
        <w:spacing w:line="360" w:lineRule="auto"/>
        <w:ind w:firstLine="567"/>
        <w:jc w:val="both"/>
        <w:rPr>
          <w:color w:val="AB0404"/>
          <w:sz w:val="28"/>
          <w:szCs w:val="28"/>
        </w:rPr>
      </w:pPr>
      <w:r w:rsidRPr="004A14AA">
        <w:rPr>
          <w:color w:val="AB0404"/>
          <w:sz w:val="28"/>
          <w:szCs w:val="28"/>
        </w:rPr>
        <w:t>Обязательными условиями Вашего участия в процедуре реализации являются:</w:t>
      </w:r>
    </w:p>
    <w:p w:rsidR="0003137B" w:rsidRPr="004A14AA" w:rsidRDefault="0003137B" w:rsidP="0003137B">
      <w:pPr>
        <w:pStyle w:val="aa"/>
        <w:numPr>
          <w:ilvl w:val="0"/>
          <w:numId w:val="9"/>
        </w:numPr>
        <w:spacing w:line="360" w:lineRule="auto"/>
        <w:ind w:left="0" w:firstLine="567"/>
        <w:jc w:val="both"/>
      </w:pPr>
      <w:r w:rsidRPr="004A14AA">
        <w:t>Соответствие оферты приложенной форме (Приложение №2).</w:t>
      </w:r>
    </w:p>
    <w:p w:rsidR="0003137B" w:rsidRPr="004A14AA" w:rsidRDefault="0003137B" w:rsidP="0003137B">
      <w:pPr>
        <w:pStyle w:val="aa"/>
        <w:numPr>
          <w:ilvl w:val="0"/>
          <w:numId w:val="9"/>
        </w:numPr>
        <w:spacing w:line="360" w:lineRule="auto"/>
        <w:ind w:left="0" w:firstLine="567"/>
        <w:jc w:val="both"/>
      </w:pPr>
      <w:r w:rsidRPr="004A14AA">
        <w:t>Соответствие перечню квалификационных требований и требованиям к заявкам участников (Приложение №3.1, 3.2)</w:t>
      </w:r>
    </w:p>
    <w:p w:rsidR="0003137B" w:rsidRPr="004A14AA" w:rsidRDefault="0003137B" w:rsidP="0003137B">
      <w:pPr>
        <w:pStyle w:val="aa"/>
        <w:numPr>
          <w:ilvl w:val="0"/>
          <w:numId w:val="9"/>
        </w:numPr>
        <w:spacing w:line="360" w:lineRule="auto"/>
        <w:ind w:left="0" w:firstLine="567"/>
        <w:jc w:val="both"/>
      </w:pPr>
      <w:r w:rsidRPr="004A14AA">
        <w:t>Наличие скан-копии</w:t>
      </w:r>
      <w:r>
        <w:t xml:space="preserve"> </w:t>
      </w:r>
      <w:r w:rsidRPr="004A14AA">
        <w:t>подписанного договора купли-продажи и приложений к нему на заявленный Лот/Лоты (Приложение №4).</w:t>
      </w:r>
    </w:p>
    <w:p w:rsidR="0003137B" w:rsidRPr="004A14AA" w:rsidRDefault="0003137B" w:rsidP="0003137B">
      <w:pPr>
        <w:pStyle w:val="aa"/>
        <w:numPr>
          <w:ilvl w:val="0"/>
          <w:numId w:val="9"/>
        </w:numPr>
        <w:spacing w:line="360" w:lineRule="auto"/>
        <w:ind w:left="0" w:firstLine="567"/>
        <w:jc w:val="both"/>
      </w:pPr>
      <w:r w:rsidRPr="004A14AA">
        <w:t>Своевременное представление комплекта документов, в установленные условиями процедуры сроки.</w:t>
      </w:r>
    </w:p>
    <w:p w:rsidR="0003137B" w:rsidRPr="004A14AA" w:rsidRDefault="0003137B" w:rsidP="0003137B">
      <w:pPr>
        <w:pStyle w:val="aa"/>
        <w:numPr>
          <w:ilvl w:val="0"/>
          <w:numId w:val="9"/>
        </w:numPr>
        <w:spacing w:line="360" w:lineRule="auto"/>
        <w:ind w:left="0" w:firstLine="567"/>
        <w:jc w:val="both"/>
      </w:pPr>
      <w:r w:rsidRPr="004A14AA">
        <w:t>Соответствие комплекта документов по составу, содержанию, оформлению и порядку подачи, предусмотренному условиями процедуры.</w:t>
      </w:r>
    </w:p>
    <w:p w:rsidR="00360B8E" w:rsidRPr="00360B8E" w:rsidRDefault="00360B8E" w:rsidP="00360B8E">
      <w:pPr>
        <w:spacing w:line="360" w:lineRule="auto"/>
        <w:ind w:firstLine="567"/>
        <w:jc w:val="both"/>
        <w:rPr>
          <w:color w:val="AB0404"/>
          <w:sz w:val="28"/>
          <w:szCs w:val="28"/>
        </w:rPr>
      </w:pPr>
      <w:r w:rsidRPr="00360B8E">
        <w:rPr>
          <w:color w:val="AB0404"/>
          <w:sz w:val="28"/>
          <w:szCs w:val="28"/>
        </w:rPr>
        <w:t>Важная информация по этапам проведения процедуры и порядку предоставления документации:</w:t>
      </w:r>
    </w:p>
    <w:p w:rsidR="00360B8E" w:rsidRDefault="00360B8E" w:rsidP="00360B8E">
      <w:pPr>
        <w:spacing w:line="360" w:lineRule="auto"/>
        <w:ind w:firstLine="567"/>
        <w:jc w:val="both"/>
      </w:pPr>
      <w:r>
        <w:t>Процедура реализации проводится на электронной торговой площадке АО «ТЭК-Торг». Квалификационн</w:t>
      </w:r>
      <w:r w:rsidR="00BA6370">
        <w:t>о-</w:t>
      </w:r>
      <w:r>
        <w:t xml:space="preserve">технические и коммерческие части заявки с печатью предприятия и подписью руководителя необходимо предоставить в электронном виде на ЭТП, по ссылке: </w:t>
      </w:r>
      <w:hyperlink r:id="rId8" w:history="1">
        <w:r w:rsidR="00E56633" w:rsidRPr="008208C5">
          <w:rPr>
            <w:rStyle w:val="a9"/>
          </w:rPr>
          <w:t>https://www.tektorg.ru/sale/procedures/13325505</w:t>
        </w:r>
      </w:hyperlink>
      <w:r w:rsidR="00E56633">
        <w:t xml:space="preserve"> </w:t>
      </w:r>
      <w:r>
        <w:t xml:space="preserve">в </w:t>
      </w:r>
      <w:r w:rsidR="00BA6370">
        <w:t>установленном</w:t>
      </w:r>
      <w:r>
        <w:t xml:space="preserve"> </w:t>
      </w:r>
      <w:r w:rsidR="00BA6370">
        <w:t>порядке.</w:t>
      </w:r>
    </w:p>
    <w:p w:rsidR="00360B8E" w:rsidRPr="00BA6370" w:rsidRDefault="00360B8E" w:rsidP="00360B8E">
      <w:pPr>
        <w:spacing w:line="360" w:lineRule="auto"/>
        <w:ind w:firstLine="567"/>
        <w:jc w:val="both"/>
      </w:pPr>
      <w:r w:rsidRPr="00BA6370">
        <w:t>Состав документации:</w:t>
      </w:r>
    </w:p>
    <w:p w:rsidR="00BA6370" w:rsidRPr="00B32ADF" w:rsidRDefault="00360B8E" w:rsidP="007C43B2">
      <w:pPr>
        <w:spacing w:line="360" w:lineRule="auto"/>
        <w:ind w:firstLine="567"/>
        <w:jc w:val="both"/>
      </w:pPr>
      <w:r w:rsidRPr="007C43B2">
        <w:rPr>
          <w:b/>
          <w:bCs/>
          <w:color w:val="1D2F44"/>
        </w:rPr>
        <w:t>Архив №1</w:t>
      </w:r>
      <w:r>
        <w:t xml:space="preserve"> </w:t>
      </w:r>
      <w:r w:rsidR="00BA6370">
        <w:t>– документы, предусмотренные Перечнем квалификационных требований и требованиями к заявкам участников (Приложение №3.1, 3.2) – предоставляются в раздел «</w:t>
      </w:r>
      <w:r w:rsidR="003B71F9" w:rsidRPr="003B71F9">
        <w:t>Технические документы</w:t>
      </w:r>
      <w:r w:rsidR="00BA6370">
        <w:t>»</w:t>
      </w:r>
      <w:r w:rsidR="003B71F9">
        <w:t xml:space="preserve"> на ЭТП</w:t>
      </w:r>
      <w:r w:rsidR="00BA6370" w:rsidRPr="00B32ADF">
        <w:t>:</w:t>
      </w:r>
    </w:p>
    <w:p w:rsidR="00FA07D2" w:rsidRDefault="00360B8E" w:rsidP="00360B8E">
      <w:pPr>
        <w:spacing w:line="360" w:lineRule="auto"/>
        <w:ind w:firstLine="567"/>
        <w:jc w:val="both"/>
      </w:pPr>
      <w:r>
        <w:t xml:space="preserve">– </w:t>
      </w:r>
      <w:r w:rsidR="00FA07D2">
        <w:t>з</w:t>
      </w:r>
      <w:r w:rsidR="00FA07D2" w:rsidRPr="00FA07D2">
        <w:t>аявка претендента (Приложение №6)</w:t>
      </w:r>
      <w:r w:rsidR="00FA07D2">
        <w:t xml:space="preserve"> н</w:t>
      </w:r>
      <w:r w:rsidR="00FA07D2" w:rsidRPr="00FA07D2">
        <w:t>а фирменном бланке с подписью руководителя и печатью организации</w:t>
      </w:r>
      <w:r w:rsidR="00FA07D2">
        <w:t>.</w:t>
      </w:r>
    </w:p>
    <w:p w:rsidR="00BA6370" w:rsidRDefault="00FA07D2" w:rsidP="00360B8E">
      <w:pPr>
        <w:spacing w:line="360" w:lineRule="auto"/>
        <w:ind w:firstLine="567"/>
        <w:jc w:val="both"/>
      </w:pPr>
      <w:r w:rsidRPr="00FA07D2">
        <w:t xml:space="preserve">– </w:t>
      </w:r>
      <w:r w:rsidR="00360B8E">
        <w:t>документы, предусмотренные п.1 Критериев квалификации участников (Инструкция ПАО «НК «Роснефть» «Проведение низкостоимостной закупки» «Требования к поставщику, предъявляемые при проведении низкостоимостной закупки»)</w:t>
      </w:r>
      <w:r w:rsidR="00BA6370">
        <w:t xml:space="preserve"> (Приложение №5)</w:t>
      </w:r>
      <w:r w:rsidR="00360B8E">
        <w:t xml:space="preserve"> и оформленные на </w:t>
      </w:r>
      <w:r w:rsidR="00BA6370">
        <w:t>ООО «РН-Бурение»</w:t>
      </w:r>
      <w:r w:rsidR="00360B8E">
        <w:t xml:space="preserve">, юридический адрес </w:t>
      </w:r>
      <w:r w:rsidR="00BA6370" w:rsidRPr="00BA6370">
        <w:t>119071, г Москва, вн.тер.г.муниципальный округ Донской, ул. Малая Калужская, д.15, стр.2</w:t>
      </w:r>
      <w:r w:rsidR="00360B8E">
        <w:t xml:space="preserve">. </w:t>
      </w:r>
      <w:r>
        <w:t xml:space="preserve">В случае наличия предоставляется </w:t>
      </w:r>
      <w:r w:rsidRPr="00FA07D2">
        <w:t xml:space="preserve">уведомление об успешном </w:t>
      </w:r>
      <w:r w:rsidRPr="00FA07D2">
        <w:lastRenderedPageBreak/>
        <w:t xml:space="preserve">прохождении проверки в рамках должной осмотрительности или о </w:t>
      </w:r>
      <w:r>
        <w:t>прохождении аккредитации в ПАО «</w:t>
      </w:r>
      <w:r w:rsidRPr="00FA07D2">
        <w:t xml:space="preserve">НК </w:t>
      </w:r>
      <w:r>
        <w:t>«</w:t>
      </w:r>
      <w:r w:rsidRPr="00FA07D2">
        <w:t>Роснефть</w:t>
      </w:r>
      <w:r>
        <w:t>».</w:t>
      </w:r>
    </w:p>
    <w:p w:rsidR="007E71B8" w:rsidRDefault="00FA07D2" w:rsidP="00360B8E">
      <w:pPr>
        <w:spacing w:line="360" w:lineRule="auto"/>
        <w:ind w:firstLine="567"/>
        <w:jc w:val="both"/>
      </w:pPr>
      <w:r>
        <w:t>– документы, предусмотренные пп. 2, 3, 4 Критериев квалификации участников и п.1 требований к заявкам участников, включая скан-копии договоров купли-продажи и приложений к ним установленной формы (Приложение №4) с печатью предприятия и подписью руководителя в формате pdf (без коммерческой информации</w:t>
      </w:r>
      <w:r w:rsidR="007E71B8">
        <w:t>).</w:t>
      </w:r>
    </w:p>
    <w:p w:rsidR="00DB6227" w:rsidRDefault="00DB6227" w:rsidP="00360B8E">
      <w:pPr>
        <w:spacing w:line="360" w:lineRule="auto"/>
        <w:ind w:firstLine="567"/>
        <w:jc w:val="both"/>
      </w:pPr>
      <w:r>
        <w:t>– документы, предусмотренные п.5 Критериев квалификации участников, справка из банка о наличии денежных средств на расчетном счете участника в размере не менее 50% от общей суммы коммерческого предложения на заявленные лоты или письмо банка об открытой кредитной линии на аналогичную сумму. Банковское подтверждение текущей платежеспособности участника должно быть получено не ранее чем за 10 рабочих дней до даты начала сбора коммерческих частей.</w:t>
      </w:r>
    </w:p>
    <w:p w:rsidR="00FA07D2" w:rsidRDefault="00BA6370" w:rsidP="00360B8E">
      <w:pPr>
        <w:spacing w:line="360" w:lineRule="auto"/>
        <w:ind w:firstLine="567"/>
        <w:jc w:val="both"/>
      </w:pPr>
      <w:r w:rsidRPr="00BA6370">
        <w:t xml:space="preserve">– </w:t>
      </w:r>
      <w:r w:rsidR="00360B8E">
        <w:t xml:space="preserve">Анкета контрагента в электронном формате </w:t>
      </w:r>
      <w:r w:rsidR="00FA07D2">
        <w:t>.</w:t>
      </w:r>
      <w:r w:rsidR="00360B8E">
        <w:t xml:space="preserve">xlsm (Приложение </w:t>
      </w:r>
      <w:r w:rsidR="00FA07D2">
        <w:t>№7</w:t>
      </w:r>
      <w:r w:rsidR="00360B8E">
        <w:t>).</w:t>
      </w:r>
      <w:r w:rsidR="00FA07D2">
        <w:t xml:space="preserve"> </w:t>
      </w:r>
    </w:p>
    <w:p w:rsidR="007E71B8" w:rsidRPr="007E71B8" w:rsidRDefault="007E71B8" w:rsidP="007E71B8">
      <w:pPr>
        <w:spacing w:line="360" w:lineRule="auto"/>
        <w:ind w:firstLine="567"/>
        <w:jc w:val="both"/>
      </w:pPr>
      <w:r w:rsidRPr="007E71B8">
        <w:t xml:space="preserve">– </w:t>
      </w:r>
      <w:r>
        <w:t>о</w:t>
      </w:r>
      <w:r w:rsidRPr="007E71B8">
        <w:t xml:space="preserve">пись предоставленных документов с наименованием соответствующих файлов. </w:t>
      </w:r>
    </w:p>
    <w:p w:rsidR="00581232" w:rsidRDefault="00581232" w:rsidP="00581232">
      <w:pPr>
        <w:spacing w:line="360" w:lineRule="auto"/>
        <w:ind w:firstLine="567"/>
        <w:jc w:val="both"/>
      </w:pPr>
      <w:r w:rsidRPr="00581232">
        <w:rPr>
          <w:b/>
          <w:bCs/>
          <w:color w:val="1D2F44"/>
        </w:rPr>
        <w:t>Архив №</w:t>
      </w:r>
      <w:r>
        <w:rPr>
          <w:b/>
          <w:bCs/>
          <w:color w:val="1D2F44"/>
        </w:rPr>
        <w:t>2</w:t>
      </w:r>
      <w:r>
        <w:t xml:space="preserve"> – скан-копии оферт с ценовыми предложениями установленной формы (Приложение №2) с печатью предприятия и подписью руководителя в формате pdf, файл оферты в формате xls, xlsx и скан-копии спецификаций к договорам купли-продажи с печатью предприятия и подписью руководителя в формате pdf. Документы предоставляются в раздел «Коммерческие документы» на ЭТП.</w:t>
      </w:r>
    </w:p>
    <w:p w:rsidR="00FA07D2" w:rsidRDefault="003B71F9" w:rsidP="00360B8E">
      <w:pPr>
        <w:spacing w:line="360" w:lineRule="auto"/>
        <w:ind w:firstLine="567"/>
        <w:jc w:val="both"/>
      </w:pPr>
      <w:r w:rsidRPr="003B71F9">
        <w:t>Датой и временем получения квалификационн</w:t>
      </w:r>
      <w:r>
        <w:t>о-</w:t>
      </w:r>
      <w:r w:rsidRPr="003B71F9">
        <w:t xml:space="preserve">технических и коммерческих частей заявок считаются дата и время, отмеченные сервером АО «ТЭК-Торг» при поступлении электронных заявок на ЭТП по ссылке: </w:t>
      </w:r>
      <w:hyperlink r:id="rId9" w:history="1">
        <w:r w:rsidR="00E56633" w:rsidRPr="008208C5">
          <w:rPr>
            <w:rStyle w:val="a9"/>
          </w:rPr>
          <w:t>https://www.tektorg.ru/sale/procedures/13325505</w:t>
        </w:r>
      </w:hyperlink>
      <w:r w:rsidR="00E56633">
        <w:t xml:space="preserve">. </w:t>
      </w:r>
    </w:p>
    <w:p w:rsidR="003B71F9" w:rsidRPr="003B71F9" w:rsidRDefault="003B71F9" w:rsidP="003B71F9">
      <w:pPr>
        <w:spacing w:line="360" w:lineRule="auto"/>
        <w:ind w:firstLine="567"/>
        <w:jc w:val="both"/>
        <w:rPr>
          <w:color w:val="FF0000"/>
          <w:sz w:val="28"/>
          <w:szCs w:val="28"/>
        </w:rPr>
      </w:pPr>
      <w:r w:rsidRPr="003B71F9">
        <w:rPr>
          <w:color w:val="FF0000"/>
          <w:sz w:val="28"/>
          <w:szCs w:val="28"/>
        </w:rPr>
        <w:t xml:space="preserve">Письма, направленные с нарушениями и позже установленного срока, к рассмотрению приниматься не будут! </w:t>
      </w:r>
    </w:p>
    <w:p w:rsidR="003B71F9" w:rsidRPr="003B71F9" w:rsidRDefault="003B71F9" w:rsidP="003B71F9">
      <w:pPr>
        <w:spacing w:line="360" w:lineRule="auto"/>
        <w:ind w:firstLine="567"/>
        <w:jc w:val="both"/>
        <w:rPr>
          <w:color w:val="FF0000"/>
          <w:sz w:val="28"/>
          <w:szCs w:val="28"/>
        </w:rPr>
      </w:pPr>
      <w:r w:rsidRPr="003B71F9">
        <w:rPr>
          <w:color w:val="FF0000"/>
          <w:sz w:val="28"/>
          <w:szCs w:val="28"/>
        </w:rPr>
        <w:t xml:space="preserve">Инструкция пользователя при работе на электронной торговой площадке АО «ТЭК-Торг» в секции «Продажа имущества» представлена на электронной торговой площадке АО «ТЭК-Торг». </w:t>
      </w:r>
    </w:p>
    <w:p w:rsidR="003B71F9" w:rsidRPr="003B71F9" w:rsidRDefault="003B71F9" w:rsidP="003B71F9">
      <w:pPr>
        <w:spacing w:line="360" w:lineRule="auto"/>
        <w:ind w:firstLine="567"/>
        <w:jc w:val="both"/>
      </w:pPr>
      <w:r>
        <w:t xml:space="preserve">Организатор процедуры </w:t>
      </w:r>
      <w:r w:rsidRPr="003B71F9">
        <w:t xml:space="preserve">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 переторжек и оставляет за собой право: </w:t>
      </w:r>
    </w:p>
    <w:p w:rsidR="003B71F9" w:rsidRPr="003B71F9" w:rsidRDefault="003B71F9" w:rsidP="003B71F9">
      <w:pPr>
        <w:spacing w:line="360" w:lineRule="auto"/>
        <w:ind w:firstLine="567"/>
        <w:jc w:val="both"/>
      </w:pPr>
      <w:r>
        <w:t xml:space="preserve"> </w:t>
      </w:r>
      <w:r w:rsidR="00AB2F02" w:rsidRPr="00AB2F02">
        <w:t>–</w:t>
      </w:r>
      <w:r>
        <w:t xml:space="preserve"> </w:t>
      </w:r>
      <w:r w:rsidRPr="003B71F9">
        <w:t xml:space="preserve">принять решение об акцепте поступивших предложений без направления повторного приглашения делать оферту с улучшенными ценовыми показателями (без проведения переторжки/переговоров); </w:t>
      </w:r>
    </w:p>
    <w:p w:rsidR="003B71F9" w:rsidRPr="003B71F9" w:rsidRDefault="003B71F9" w:rsidP="003B71F9">
      <w:pPr>
        <w:spacing w:line="360" w:lineRule="auto"/>
        <w:ind w:firstLine="567"/>
        <w:jc w:val="both"/>
      </w:pPr>
      <w:r>
        <w:t xml:space="preserve"> </w:t>
      </w:r>
      <w:r w:rsidR="00AB2F02" w:rsidRPr="00AB2F02">
        <w:t>–</w:t>
      </w:r>
      <w:r>
        <w:t xml:space="preserve"> </w:t>
      </w:r>
      <w:r w:rsidRPr="003B71F9">
        <w:t xml:space="preserve">акцептовать первоначально направленную оферту, в случае если при повторном приглашении делать оферту с улучшенными ценовыми показателями, предоставлена оферта с ухудшением ценовых показателей; </w:t>
      </w:r>
    </w:p>
    <w:p w:rsidR="003B71F9" w:rsidRPr="003B71F9" w:rsidRDefault="003B71F9" w:rsidP="003B71F9">
      <w:pPr>
        <w:spacing w:line="360" w:lineRule="auto"/>
        <w:ind w:firstLine="567"/>
        <w:jc w:val="both"/>
      </w:pPr>
      <w:r>
        <w:lastRenderedPageBreak/>
        <w:t xml:space="preserve"> </w:t>
      </w:r>
      <w:r w:rsidR="00AB2F02" w:rsidRPr="00AB2F02">
        <w:t>–</w:t>
      </w:r>
      <w:r>
        <w:t xml:space="preserve"> </w:t>
      </w:r>
      <w:r w:rsidRPr="003B71F9">
        <w:t xml:space="preserve">не принять решения об акцепте ни по одному из поступивших предложений, а также о выборе покупателя на частичный объём предлагаемой к реализации продукции. </w:t>
      </w:r>
    </w:p>
    <w:p w:rsidR="003B71F9" w:rsidRPr="003B71F9" w:rsidRDefault="003B71F9" w:rsidP="00AB2F02">
      <w:pPr>
        <w:spacing w:line="360" w:lineRule="auto"/>
        <w:ind w:firstLine="567"/>
        <w:jc w:val="both"/>
      </w:pPr>
      <w:r w:rsidRPr="003B71F9">
        <w:t xml:space="preserve">При заключении контракта (договора) по результатам процедуры реализации исполнение условий оферты победителем процедуры является обязательным. </w:t>
      </w:r>
    </w:p>
    <w:p w:rsidR="003B71F9" w:rsidRPr="003B71F9" w:rsidRDefault="003B71F9" w:rsidP="00AB2F02">
      <w:pPr>
        <w:spacing w:line="360" w:lineRule="auto"/>
        <w:ind w:firstLine="567"/>
        <w:jc w:val="both"/>
      </w:pPr>
      <w:r w:rsidRPr="003B71F9">
        <w:t xml:space="preserve">В случае отказа/уклонения победителя процедуры реализации от оформления/исполнения контракта (договора) на условиях принятой оферты по любой из согласованных отгрузок, </w:t>
      </w:r>
      <w:r w:rsidR="007D1DDC">
        <w:t>Организатор процедуры</w:t>
      </w:r>
      <w:r w:rsidRPr="003B71F9">
        <w:t xml:space="preserve"> будет иметь право реализовать соответствующий объем продукции третьим лицам, с отнесением всех возможных убытков на счет победителя процедуры реализации, с последующим внесением отказавшегося победителя в список недобросовестных покупателей, а так же дальнейшим исключением его из числа потенциальных участников в проводимых в ПАО</w:t>
      </w:r>
      <w:r w:rsidR="007D1DDC">
        <w:t> </w:t>
      </w:r>
      <w:r w:rsidRPr="003B71F9">
        <w:t xml:space="preserve">«НК «Роснефть» конкурентных процедурах реализации. </w:t>
      </w:r>
    </w:p>
    <w:p w:rsidR="003B71F9" w:rsidRPr="00AB2F02" w:rsidRDefault="003B71F9" w:rsidP="00AB2F02">
      <w:pPr>
        <w:spacing w:line="360" w:lineRule="auto"/>
        <w:ind w:firstLine="567"/>
        <w:jc w:val="both"/>
        <w:rPr>
          <w:color w:val="AB0404"/>
          <w:sz w:val="28"/>
          <w:szCs w:val="28"/>
        </w:rPr>
      </w:pPr>
      <w:r w:rsidRPr="00AB2F02">
        <w:rPr>
          <w:color w:val="AB0404"/>
          <w:sz w:val="28"/>
          <w:szCs w:val="28"/>
        </w:rPr>
        <w:t xml:space="preserve">Порядок подписания договора с победителями процедуры. </w:t>
      </w:r>
    </w:p>
    <w:p w:rsidR="003B71F9" w:rsidRPr="007D1DDC" w:rsidRDefault="003B71F9" w:rsidP="007D1DDC">
      <w:pPr>
        <w:spacing w:line="360" w:lineRule="auto"/>
        <w:ind w:firstLine="567"/>
        <w:jc w:val="both"/>
      </w:pPr>
      <w:r w:rsidRPr="007D1DDC">
        <w:t xml:space="preserve">Договор может быть подписан уполномоченными представителями Сторон собственноручно, либо с использованием усиленной квалифицированной электронной подписи. Подписание договора с использованием электронной подписи осуществляется Сторонами на электронной торговой площадке АО «ТЭК-Торг» адрес в сети интернет </w:t>
      </w:r>
      <w:hyperlink r:id="rId10" w:history="1">
        <w:r w:rsidR="007D1DDC" w:rsidRPr="00124C81">
          <w:rPr>
            <w:rStyle w:val="a9"/>
          </w:rPr>
          <w:t>https://sale.tektorg.ru</w:t>
        </w:r>
      </w:hyperlink>
      <w:r w:rsidRPr="007D1DDC">
        <w:t>, выбор варианта подписания оп</w:t>
      </w:r>
      <w:r w:rsidR="007D1DDC">
        <w:t>ределяет Организатор процедуры.</w:t>
      </w:r>
    </w:p>
    <w:p w:rsidR="003B71F9" w:rsidRPr="007D1DDC" w:rsidRDefault="003B71F9" w:rsidP="007D1DDC">
      <w:pPr>
        <w:spacing w:line="360" w:lineRule="auto"/>
        <w:ind w:firstLine="567"/>
        <w:jc w:val="both"/>
      </w:pPr>
      <w:r w:rsidRPr="007D1DDC">
        <w:t xml:space="preserve">Не подписание победителем процедуры реализации договора в течение 10-ти банковских дней с момента направления уведомления ЭТП о размещении Продавцом подписанного электронного договора или получения от Продавца подписанного договора, направленного посредством электронной почты, будет расцениваться </w:t>
      </w:r>
      <w:r w:rsidR="007D1DDC">
        <w:t>Организатором процедуры</w:t>
      </w:r>
      <w:r w:rsidRPr="007D1DDC">
        <w:t xml:space="preserve"> как уклонение победителя процедуры реализации от заключения/исполнения договора и является основание для удержания (при наличии) в пользу </w:t>
      </w:r>
      <w:r w:rsidR="007D1DDC">
        <w:t>Организатора процедуры</w:t>
      </w:r>
      <w:r w:rsidRPr="007D1DDC">
        <w:t xml:space="preserve"> финансового обеспечения заявки. </w:t>
      </w:r>
    </w:p>
    <w:p w:rsidR="00FA07D2" w:rsidRDefault="003B71F9" w:rsidP="003B71F9">
      <w:pPr>
        <w:spacing w:line="360" w:lineRule="auto"/>
        <w:ind w:firstLine="567"/>
        <w:jc w:val="both"/>
      </w:pPr>
      <w:r w:rsidRPr="007D1DDC">
        <w:t>Заявки, поданные участниками, не представившими документы для прохождения предварительного отбора для допуска к участию в процедуре реализации и/или не прошедшими предварительный отбор для допуска к участию в процедуре реализации, не рассматриваются.</w:t>
      </w:r>
    </w:p>
    <w:p w:rsidR="00FA07D2" w:rsidRDefault="00FA07D2" w:rsidP="00360B8E">
      <w:pPr>
        <w:spacing w:line="360" w:lineRule="auto"/>
        <w:ind w:firstLine="567"/>
        <w:jc w:val="both"/>
      </w:pPr>
    </w:p>
    <w:p w:rsidR="0003137B" w:rsidRPr="000809A9" w:rsidRDefault="0003137B" w:rsidP="0003137B">
      <w:pPr>
        <w:spacing w:before="100" w:beforeAutospacing="1" w:after="39"/>
        <w:ind w:firstLine="567"/>
        <w:rPr>
          <w:color w:val="AB0404"/>
          <w:sz w:val="28"/>
          <w:szCs w:val="28"/>
        </w:rPr>
      </w:pPr>
      <w:r w:rsidRPr="000809A9">
        <w:rPr>
          <w:color w:val="AB0404"/>
          <w:sz w:val="28"/>
          <w:szCs w:val="28"/>
        </w:rPr>
        <w:t>Контактн</w:t>
      </w:r>
      <w:r>
        <w:rPr>
          <w:color w:val="AB0404"/>
          <w:sz w:val="28"/>
          <w:szCs w:val="28"/>
        </w:rPr>
        <w:t>ое</w:t>
      </w:r>
      <w:r w:rsidRPr="000809A9">
        <w:rPr>
          <w:color w:val="AB0404"/>
          <w:sz w:val="28"/>
          <w:szCs w:val="28"/>
        </w:rPr>
        <w:t xml:space="preserve"> лиц</w:t>
      </w:r>
      <w:r>
        <w:rPr>
          <w:color w:val="AB0404"/>
          <w:sz w:val="28"/>
          <w:szCs w:val="28"/>
        </w:rPr>
        <w:t>о</w:t>
      </w:r>
      <w:r w:rsidRPr="000809A9">
        <w:rPr>
          <w:color w:val="AB0404"/>
          <w:sz w:val="28"/>
          <w:szCs w:val="28"/>
        </w:rPr>
        <w:t xml:space="preserve"> от ООО «РН-Бурение» (технические вопросы):</w:t>
      </w:r>
    </w:p>
    <w:tbl>
      <w:tblPr>
        <w:tblW w:w="4915" w:type="pct"/>
        <w:tblCellSpacing w:w="15" w:type="dxa"/>
        <w:tblInd w:w="30" w:type="dxa"/>
        <w:tblCellMar>
          <w:left w:w="0" w:type="dxa"/>
          <w:right w:w="0" w:type="dxa"/>
        </w:tblCellMar>
        <w:tblLook w:val="0000" w:firstRow="0" w:lastRow="0" w:firstColumn="0" w:lastColumn="0" w:noHBand="0" w:noVBand="0"/>
      </w:tblPr>
      <w:tblGrid>
        <w:gridCol w:w="6201"/>
        <w:gridCol w:w="3831"/>
      </w:tblGrid>
      <w:tr w:rsidR="0003137B" w:rsidRPr="004A14AA" w:rsidTr="009E70D3">
        <w:trPr>
          <w:tblCellSpacing w:w="15" w:type="dxa"/>
        </w:trPr>
        <w:tc>
          <w:tcPr>
            <w:tcW w:w="3068" w:type="pct"/>
          </w:tcPr>
          <w:p w:rsidR="0003137B" w:rsidRPr="004A14AA" w:rsidRDefault="0003137B" w:rsidP="009E70D3">
            <w:pPr>
              <w:spacing w:line="300" w:lineRule="atLeast"/>
              <w:rPr>
                <w:b/>
                <w:bCs/>
                <w:color w:val="6B7077"/>
              </w:rPr>
            </w:pPr>
            <w:r>
              <w:rPr>
                <w:b/>
                <w:bCs/>
                <w:color w:val="6B7077"/>
              </w:rPr>
              <w:t xml:space="preserve">Давыдов Сергей Петрович </w:t>
            </w:r>
            <w:r w:rsidRPr="004A14AA">
              <w:rPr>
                <w:b/>
                <w:bCs/>
                <w:color w:val="6B7077"/>
              </w:rPr>
              <w:br/>
              <w:t>(</w:t>
            </w:r>
            <w:r w:rsidRPr="00A1506B">
              <w:rPr>
                <w:bCs/>
                <w:color w:val="6B7077"/>
              </w:rPr>
              <w:t xml:space="preserve">Специалист </w:t>
            </w:r>
            <w:r>
              <w:rPr>
                <w:bCs/>
                <w:color w:val="6B7077"/>
              </w:rPr>
              <w:t>ГКОИ</w:t>
            </w:r>
            <w:r w:rsidRPr="00A1506B">
              <w:rPr>
                <w:bCs/>
                <w:color w:val="6B7077"/>
              </w:rPr>
              <w:t xml:space="preserve"> № 2</w:t>
            </w:r>
            <w:r w:rsidRPr="004A14AA">
              <w:rPr>
                <w:b/>
                <w:bCs/>
                <w:color w:val="6B7077"/>
              </w:rPr>
              <w:t xml:space="preserve">) </w:t>
            </w:r>
          </w:p>
        </w:tc>
        <w:tc>
          <w:tcPr>
            <w:tcW w:w="1887" w:type="pct"/>
          </w:tcPr>
          <w:p w:rsidR="0003137B" w:rsidRDefault="0003137B" w:rsidP="009E70D3">
            <w:pPr>
              <w:rPr>
                <w:bCs/>
                <w:color w:val="6B7077"/>
              </w:rPr>
            </w:pPr>
          </w:p>
          <w:p w:rsidR="0003137B" w:rsidRPr="002A7247" w:rsidRDefault="0003137B" w:rsidP="009E70D3">
            <w:pPr>
              <w:rPr>
                <w:bCs/>
                <w:color w:val="6B7077"/>
              </w:rPr>
            </w:pPr>
            <w:r w:rsidRPr="002A7247">
              <w:rPr>
                <w:bCs/>
                <w:color w:val="6B7077"/>
              </w:rPr>
              <w:t xml:space="preserve">телефон: </w:t>
            </w:r>
            <w:r>
              <w:rPr>
                <w:bCs/>
                <w:color w:val="6B7077"/>
              </w:rPr>
              <w:t>+7</w:t>
            </w:r>
            <w:r w:rsidRPr="00A1506B">
              <w:rPr>
                <w:bCs/>
                <w:color w:val="6B7077"/>
              </w:rPr>
              <w:t>(35342)7-33-61</w:t>
            </w:r>
            <w:r w:rsidRPr="002A7247">
              <w:rPr>
                <w:bCs/>
                <w:color w:val="6B7077"/>
              </w:rPr>
              <w:t xml:space="preserve">    </w:t>
            </w:r>
          </w:p>
          <w:p w:rsidR="0003137B" w:rsidRPr="002A7247" w:rsidRDefault="0003137B" w:rsidP="009E70D3">
            <w:pPr>
              <w:rPr>
                <w:bCs/>
                <w:color w:val="6B7077"/>
              </w:rPr>
            </w:pPr>
            <w:r w:rsidRPr="002A7247">
              <w:rPr>
                <w:bCs/>
                <w:color w:val="6B7077"/>
              </w:rPr>
              <w:t>адрес электронной почты:</w:t>
            </w:r>
            <w:r w:rsidRPr="002A7247">
              <w:rPr>
                <w:bCs/>
                <w:color w:val="6B7077"/>
              </w:rPr>
              <w:br/>
            </w:r>
            <w:hyperlink r:id="rId11" w:history="1">
              <w:r w:rsidRPr="00A1506B">
                <w:rPr>
                  <w:rStyle w:val="a9"/>
                </w:rPr>
                <w:t>spdavydov@rn-burtnie.rosneft.ru</w:t>
              </w:r>
            </w:hyperlink>
            <w:r>
              <w:rPr>
                <w:rFonts w:ascii="Calibri" w:hAnsi="Calibri" w:cs="Calibri"/>
                <w:b/>
                <w:bCs/>
                <w:i/>
                <w:iCs/>
                <w:sz w:val="22"/>
                <w:szCs w:val="22"/>
                <w:lang w:eastAsia="en-US"/>
              </w:rPr>
              <w:t xml:space="preserve"> </w:t>
            </w:r>
            <w:r>
              <w:t xml:space="preserve">  </w:t>
            </w:r>
          </w:p>
          <w:p w:rsidR="0003137B" w:rsidRDefault="0003137B" w:rsidP="009E70D3">
            <w:pPr>
              <w:rPr>
                <w:bCs/>
                <w:color w:val="6B7077"/>
              </w:rPr>
            </w:pPr>
            <w:r w:rsidRPr="002A7247">
              <w:rPr>
                <w:bCs/>
                <w:color w:val="6B7077"/>
              </w:rPr>
              <w:t>почтовый адрес:</w:t>
            </w:r>
            <w:r w:rsidRPr="002A7247">
              <w:rPr>
                <w:bCs/>
                <w:color w:val="6B7077"/>
              </w:rPr>
              <w:br/>
            </w:r>
            <w:r w:rsidRPr="00A1506B">
              <w:rPr>
                <w:bCs/>
                <w:color w:val="6B7077"/>
              </w:rPr>
              <w:t xml:space="preserve">461040, РФ, Оренбургская обл., </w:t>
            </w:r>
          </w:p>
          <w:p w:rsidR="0003137B" w:rsidRPr="004A14AA" w:rsidRDefault="0003137B" w:rsidP="009E70D3">
            <w:pPr>
              <w:rPr>
                <w:b/>
                <w:bCs/>
                <w:color w:val="6B7077"/>
              </w:rPr>
            </w:pPr>
            <w:r w:rsidRPr="00A1506B">
              <w:rPr>
                <w:bCs/>
                <w:color w:val="6B7077"/>
              </w:rPr>
              <w:t>г. Бузулук, ул. Магистральная, 14</w:t>
            </w:r>
          </w:p>
        </w:tc>
      </w:tr>
      <w:tr w:rsidR="0003137B" w:rsidRPr="004A14AA" w:rsidTr="009E70D3">
        <w:trPr>
          <w:tblCellSpacing w:w="15" w:type="dxa"/>
        </w:trPr>
        <w:tc>
          <w:tcPr>
            <w:tcW w:w="3068" w:type="pct"/>
          </w:tcPr>
          <w:p w:rsidR="0003137B" w:rsidRDefault="0003137B" w:rsidP="009E70D3">
            <w:pPr>
              <w:spacing w:line="300" w:lineRule="atLeast"/>
              <w:ind w:firstLine="567"/>
              <w:rPr>
                <w:b/>
                <w:bCs/>
                <w:color w:val="6B7077"/>
              </w:rPr>
            </w:pPr>
          </w:p>
          <w:p w:rsidR="0003137B" w:rsidRDefault="0003137B" w:rsidP="009E70D3">
            <w:pPr>
              <w:spacing w:line="300" w:lineRule="atLeast"/>
              <w:ind w:firstLine="567"/>
              <w:rPr>
                <w:b/>
                <w:bCs/>
                <w:color w:val="6B7077"/>
              </w:rPr>
            </w:pPr>
          </w:p>
          <w:p w:rsidR="0003137B" w:rsidRDefault="0003137B" w:rsidP="009E70D3">
            <w:pPr>
              <w:spacing w:line="300" w:lineRule="atLeast"/>
              <w:ind w:firstLine="567"/>
              <w:rPr>
                <w:b/>
                <w:bCs/>
                <w:color w:val="6B7077"/>
              </w:rPr>
            </w:pPr>
          </w:p>
        </w:tc>
        <w:tc>
          <w:tcPr>
            <w:tcW w:w="1887" w:type="pct"/>
          </w:tcPr>
          <w:p w:rsidR="0003137B" w:rsidRDefault="0003137B" w:rsidP="009E70D3">
            <w:pPr>
              <w:rPr>
                <w:bCs/>
                <w:color w:val="6B7077"/>
              </w:rPr>
            </w:pPr>
          </w:p>
        </w:tc>
      </w:tr>
      <w:tr w:rsidR="0003137B" w:rsidRPr="004A14AA" w:rsidTr="009E70D3">
        <w:trPr>
          <w:tblCellSpacing w:w="15" w:type="dxa"/>
        </w:trPr>
        <w:tc>
          <w:tcPr>
            <w:tcW w:w="3068" w:type="pct"/>
          </w:tcPr>
          <w:p w:rsidR="0003137B" w:rsidRPr="004A14AA" w:rsidRDefault="0003137B" w:rsidP="009E70D3">
            <w:pPr>
              <w:spacing w:line="300" w:lineRule="atLeast"/>
              <w:rPr>
                <w:b/>
                <w:bCs/>
                <w:color w:val="6B7077"/>
              </w:rPr>
            </w:pPr>
            <w:r w:rsidRPr="00A12CE6">
              <w:rPr>
                <w:b/>
                <w:bCs/>
                <w:color w:val="6B7077"/>
              </w:rPr>
              <w:lastRenderedPageBreak/>
              <w:t>Агишев Тимур Шамилевич</w:t>
            </w:r>
            <w:r w:rsidRPr="004A14AA">
              <w:rPr>
                <w:b/>
                <w:bCs/>
                <w:color w:val="6B7077"/>
              </w:rPr>
              <w:br/>
              <w:t>(</w:t>
            </w:r>
            <w:r w:rsidRPr="00A12CE6">
              <w:rPr>
                <w:bCs/>
                <w:color w:val="6B7077"/>
              </w:rPr>
              <w:t>Руководитель ГКОиИ №1 БПО</w:t>
            </w:r>
            <w:r w:rsidRPr="004A14AA">
              <w:rPr>
                <w:b/>
                <w:bCs/>
                <w:color w:val="6B7077"/>
              </w:rPr>
              <w:t xml:space="preserve">) </w:t>
            </w:r>
          </w:p>
        </w:tc>
        <w:tc>
          <w:tcPr>
            <w:tcW w:w="1887" w:type="pct"/>
          </w:tcPr>
          <w:p w:rsidR="0003137B" w:rsidRPr="002A7247" w:rsidRDefault="0003137B" w:rsidP="009E70D3">
            <w:pPr>
              <w:rPr>
                <w:bCs/>
                <w:color w:val="6B7077"/>
              </w:rPr>
            </w:pPr>
            <w:r w:rsidRPr="002A7247">
              <w:rPr>
                <w:bCs/>
                <w:color w:val="6B7077"/>
              </w:rPr>
              <w:t xml:space="preserve">телефон: </w:t>
            </w:r>
            <w:r>
              <w:rPr>
                <w:bCs/>
                <w:color w:val="6B7077"/>
              </w:rPr>
              <w:t>+7</w:t>
            </w:r>
            <w:r w:rsidRPr="00A12CE6">
              <w:rPr>
                <w:bCs/>
                <w:color w:val="6B7077"/>
              </w:rPr>
              <w:t xml:space="preserve"> (3532) 37-56-96</w:t>
            </w:r>
            <w:r w:rsidRPr="002A7247">
              <w:rPr>
                <w:bCs/>
                <w:color w:val="6B7077"/>
              </w:rPr>
              <w:t xml:space="preserve">    </w:t>
            </w:r>
          </w:p>
          <w:p w:rsidR="0003137B" w:rsidRPr="00A12CE6" w:rsidRDefault="0003137B" w:rsidP="009E70D3">
            <w:pPr>
              <w:rPr>
                <w:rStyle w:val="a9"/>
              </w:rPr>
            </w:pPr>
            <w:r w:rsidRPr="002A7247">
              <w:rPr>
                <w:bCs/>
                <w:color w:val="6B7077"/>
              </w:rPr>
              <w:t>адрес электронной почты:</w:t>
            </w:r>
            <w:r w:rsidRPr="002A7247">
              <w:rPr>
                <w:bCs/>
                <w:color w:val="6B7077"/>
              </w:rPr>
              <w:br/>
            </w:r>
            <w:hyperlink r:id="rId12" w:history="1">
              <w:r w:rsidRPr="00A12CE6">
                <w:rPr>
                  <w:rStyle w:val="a9"/>
                </w:rPr>
                <w:t>tshagishev@rn-burenie.rosneft.ru</w:t>
              </w:r>
            </w:hyperlink>
          </w:p>
          <w:p w:rsidR="0003137B" w:rsidRPr="00A12CE6" w:rsidRDefault="0003137B" w:rsidP="009E70D3">
            <w:pPr>
              <w:rPr>
                <w:bCs/>
                <w:color w:val="6B7077"/>
              </w:rPr>
            </w:pPr>
            <w:r w:rsidRPr="002A7247">
              <w:rPr>
                <w:bCs/>
                <w:color w:val="6B7077"/>
              </w:rPr>
              <w:t>почтовый адрес:</w:t>
            </w:r>
            <w:r w:rsidRPr="002A7247">
              <w:rPr>
                <w:bCs/>
                <w:color w:val="6B7077"/>
              </w:rPr>
              <w:br/>
            </w:r>
            <w:r w:rsidRPr="00A12CE6">
              <w:rPr>
                <w:bCs/>
                <w:color w:val="6B7077"/>
              </w:rPr>
              <w:t xml:space="preserve">460961, г. Оренбург, </w:t>
            </w:r>
          </w:p>
          <w:p w:rsidR="0003137B" w:rsidRPr="004A14AA" w:rsidRDefault="0003137B" w:rsidP="009E70D3">
            <w:pPr>
              <w:rPr>
                <w:b/>
                <w:bCs/>
                <w:color w:val="6B7077"/>
              </w:rPr>
            </w:pPr>
            <w:r w:rsidRPr="00A12CE6">
              <w:rPr>
                <w:bCs/>
                <w:color w:val="6B7077"/>
              </w:rPr>
              <w:t>ул. Донгузская 3 проезд, дом 3</w:t>
            </w:r>
          </w:p>
        </w:tc>
      </w:tr>
      <w:tr w:rsidR="0003137B" w:rsidRPr="004A14AA" w:rsidTr="009E70D3">
        <w:trPr>
          <w:tblCellSpacing w:w="15" w:type="dxa"/>
        </w:trPr>
        <w:tc>
          <w:tcPr>
            <w:tcW w:w="3068" w:type="pct"/>
          </w:tcPr>
          <w:p w:rsidR="0003137B" w:rsidRPr="004A14AA" w:rsidRDefault="0003137B" w:rsidP="009E70D3">
            <w:pPr>
              <w:spacing w:line="300" w:lineRule="atLeast"/>
              <w:ind w:firstLine="567"/>
              <w:rPr>
                <w:b/>
                <w:bCs/>
                <w:color w:val="6B7077"/>
              </w:rPr>
            </w:pPr>
          </w:p>
        </w:tc>
        <w:tc>
          <w:tcPr>
            <w:tcW w:w="1887" w:type="pct"/>
          </w:tcPr>
          <w:p w:rsidR="0003137B" w:rsidRPr="004A14AA" w:rsidRDefault="0003137B" w:rsidP="009E70D3">
            <w:pPr>
              <w:rPr>
                <w:b/>
                <w:bCs/>
                <w:color w:val="6B7077"/>
              </w:rPr>
            </w:pPr>
          </w:p>
        </w:tc>
      </w:tr>
    </w:tbl>
    <w:p w:rsidR="0003137B" w:rsidRPr="000809A9" w:rsidRDefault="0003137B" w:rsidP="0003137B">
      <w:pPr>
        <w:pStyle w:val="2"/>
        <w:rPr>
          <w:rFonts w:ascii="Times New Roman" w:hAnsi="Times New Roman" w:cs="Times New Roman"/>
          <w:color w:val="AB0404"/>
          <w:sz w:val="28"/>
          <w:szCs w:val="28"/>
        </w:rPr>
      </w:pPr>
      <w:r w:rsidRPr="000809A9">
        <w:rPr>
          <w:rFonts w:ascii="Times New Roman" w:hAnsi="Times New Roman" w:cs="Times New Roman"/>
          <w:color w:val="AB0404"/>
          <w:sz w:val="28"/>
          <w:szCs w:val="28"/>
        </w:rPr>
        <w:t>Контактное лицо от ООО «РН-Бурение» (процедурные вопросы):</w:t>
      </w:r>
    </w:p>
    <w:tbl>
      <w:tblPr>
        <w:tblW w:w="5000" w:type="pct"/>
        <w:tblCellSpacing w:w="15" w:type="dxa"/>
        <w:tblCellMar>
          <w:left w:w="0" w:type="dxa"/>
          <w:right w:w="0" w:type="dxa"/>
        </w:tblCellMar>
        <w:tblLook w:val="0000" w:firstRow="0" w:lastRow="0" w:firstColumn="0" w:lastColumn="0" w:noHBand="0" w:noVBand="0"/>
      </w:tblPr>
      <w:tblGrid>
        <w:gridCol w:w="6235"/>
        <w:gridCol w:w="3970"/>
      </w:tblGrid>
      <w:tr w:rsidR="0003137B" w:rsidRPr="004A14AA" w:rsidTr="009E70D3">
        <w:trPr>
          <w:trHeight w:val="2153"/>
          <w:tblCellSpacing w:w="15" w:type="dxa"/>
        </w:trPr>
        <w:tc>
          <w:tcPr>
            <w:tcW w:w="3032" w:type="pct"/>
          </w:tcPr>
          <w:p w:rsidR="0003137B" w:rsidRDefault="0003137B" w:rsidP="009E70D3">
            <w:pPr>
              <w:spacing w:line="300" w:lineRule="atLeast"/>
              <w:rPr>
                <w:color w:val="6B7077"/>
              </w:rPr>
            </w:pPr>
            <w:r>
              <w:rPr>
                <w:b/>
                <w:bCs/>
                <w:color w:val="6B7077"/>
              </w:rPr>
              <w:t>Колбасов Павел Александрович</w:t>
            </w:r>
          </w:p>
          <w:p w:rsidR="0003137B" w:rsidRPr="004A14AA" w:rsidRDefault="0003137B" w:rsidP="009E70D3">
            <w:pPr>
              <w:spacing w:line="300" w:lineRule="atLeast"/>
              <w:rPr>
                <w:color w:val="6B7077"/>
              </w:rPr>
            </w:pPr>
            <w:r w:rsidRPr="004A14AA">
              <w:rPr>
                <w:color w:val="6B7077"/>
              </w:rPr>
              <w:t>(Начальник отдела по управлению материальными активами)</w:t>
            </w:r>
          </w:p>
        </w:tc>
        <w:tc>
          <w:tcPr>
            <w:tcW w:w="1922" w:type="pct"/>
          </w:tcPr>
          <w:p w:rsidR="0003137B" w:rsidRDefault="0003137B" w:rsidP="009E70D3">
            <w:pPr>
              <w:rPr>
                <w:bCs/>
                <w:color w:val="6B7077"/>
              </w:rPr>
            </w:pPr>
          </w:p>
          <w:p w:rsidR="0003137B" w:rsidRPr="002A7247" w:rsidRDefault="0003137B" w:rsidP="009E70D3">
            <w:pPr>
              <w:rPr>
                <w:bCs/>
                <w:color w:val="6B7077"/>
              </w:rPr>
            </w:pPr>
            <w:r w:rsidRPr="002A7247">
              <w:rPr>
                <w:bCs/>
                <w:color w:val="6B7077"/>
              </w:rPr>
              <w:t>телефон: +</w:t>
            </w:r>
            <w:r>
              <w:t xml:space="preserve"> </w:t>
            </w:r>
            <w:r>
              <w:rPr>
                <w:bCs/>
                <w:color w:val="6B7077"/>
              </w:rPr>
              <w:t>7</w:t>
            </w:r>
            <w:r w:rsidRPr="002A7247">
              <w:rPr>
                <w:bCs/>
                <w:color w:val="6B7077"/>
              </w:rPr>
              <w:t xml:space="preserve"> (3532) 37-</w:t>
            </w:r>
            <w:r>
              <w:rPr>
                <w:bCs/>
                <w:color w:val="6B7077"/>
              </w:rPr>
              <w:t>54</w:t>
            </w:r>
            <w:r w:rsidRPr="002A7247">
              <w:rPr>
                <w:bCs/>
                <w:color w:val="6B7077"/>
              </w:rPr>
              <w:t>-</w:t>
            </w:r>
            <w:r>
              <w:rPr>
                <w:bCs/>
                <w:color w:val="6B7077"/>
              </w:rPr>
              <w:t>08</w:t>
            </w:r>
            <w:r w:rsidRPr="002A7247">
              <w:rPr>
                <w:bCs/>
                <w:color w:val="6B7077"/>
              </w:rPr>
              <w:t xml:space="preserve">    </w:t>
            </w:r>
          </w:p>
          <w:p w:rsidR="0003137B" w:rsidRPr="002A7247" w:rsidRDefault="0003137B" w:rsidP="009E70D3">
            <w:pPr>
              <w:rPr>
                <w:bCs/>
                <w:color w:val="6B7077"/>
              </w:rPr>
            </w:pPr>
            <w:r w:rsidRPr="002A7247">
              <w:rPr>
                <w:bCs/>
                <w:color w:val="6B7077"/>
              </w:rPr>
              <w:t>адрес электронной почты:</w:t>
            </w:r>
            <w:r w:rsidRPr="002A7247">
              <w:rPr>
                <w:bCs/>
                <w:color w:val="6B7077"/>
              </w:rPr>
              <w:br/>
            </w:r>
            <w:hyperlink r:id="rId13" w:history="1">
              <w:hyperlink r:id="rId14" w:history="1">
                <w:r w:rsidRPr="001010A2">
                  <w:rPr>
                    <w:rStyle w:val="a9"/>
                    <w:bCs/>
                  </w:rPr>
                  <w:t>pakolbasov@rn-burenie.rosneft.ru</w:t>
                </w:r>
              </w:hyperlink>
              <w:r w:rsidRPr="00552145">
                <w:rPr>
                  <w:rStyle w:val="a9"/>
                  <w:bCs/>
                </w:rPr>
                <w:t xml:space="preserve"> </w:t>
              </w:r>
            </w:hyperlink>
          </w:p>
          <w:p w:rsidR="0003137B" w:rsidRPr="002A7247" w:rsidRDefault="0003137B" w:rsidP="009E70D3">
            <w:pPr>
              <w:rPr>
                <w:bCs/>
                <w:color w:val="6B7077"/>
              </w:rPr>
            </w:pPr>
            <w:r w:rsidRPr="002A7247">
              <w:rPr>
                <w:bCs/>
                <w:color w:val="6B7077"/>
              </w:rPr>
              <w:t>почтовый адрес:</w:t>
            </w:r>
            <w:r w:rsidRPr="002A7247">
              <w:rPr>
                <w:bCs/>
                <w:color w:val="6B7077"/>
              </w:rPr>
              <w:br/>
              <w:t>460</w:t>
            </w:r>
            <w:r>
              <w:rPr>
                <w:bCs/>
                <w:color w:val="6B7077"/>
              </w:rPr>
              <w:t>961</w:t>
            </w:r>
            <w:r w:rsidRPr="002A7247">
              <w:rPr>
                <w:bCs/>
                <w:color w:val="6B7077"/>
              </w:rPr>
              <w:t xml:space="preserve">, г. Оренбург, </w:t>
            </w:r>
          </w:p>
          <w:p w:rsidR="0003137B" w:rsidRPr="004A14AA" w:rsidRDefault="0003137B" w:rsidP="009E70D3">
            <w:pPr>
              <w:rPr>
                <w:b/>
                <w:bCs/>
                <w:color w:val="6B7077"/>
              </w:rPr>
            </w:pPr>
            <w:r w:rsidRPr="002A7247">
              <w:rPr>
                <w:bCs/>
                <w:color w:val="6B7077"/>
              </w:rPr>
              <w:t>ул. Донгузская 3 проезд, дом 3</w:t>
            </w:r>
          </w:p>
        </w:tc>
      </w:tr>
    </w:tbl>
    <w:p w:rsidR="0003137B" w:rsidRDefault="0003137B" w:rsidP="0003137B">
      <w:pPr>
        <w:ind w:firstLine="567"/>
      </w:pPr>
    </w:p>
    <w:p w:rsidR="0003137B" w:rsidRDefault="007D1DDC" w:rsidP="0003137B">
      <w:pPr>
        <w:ind w:firstLine="567"/>
        <w:rPr>
          <w:b/>
        </w:rPr>
      </w:pPr>
      <w:r w:rsidRPr="007D1DDC">
        <w:rPr>
          <w:b/>
        </w:rPr>
        <w:t>Данное приглашение делать оферты ни при каких обстоятельствах не должно рассматриваться в качестве юридически обязывающего документа, не является офертой</w:t>
      </w:r>
      <w:r w:rsidR="0003137B">
        <w:rPr>
          <w:b/>
        </w:rPr>
        <w:t>.</w:t>
      </w:r>
    </w:p>
    <w:p w:rsidR="0003137B" w:rsidRDefault="0003137B" w:rsidP="0003137B">
      <w:pPr>
        <w:ind w:firstLine="567"/>
        <w:rPr>
          <w:b/>
        </w:rPr>
      </w:pPr>
    </w:p>
    <w:p w:rsidR="0003137B" w:rsidRPr="007D1DDC" w:rsidRDefault="0003137B" w:rsidP="0003137B">
      <w:pPr>
        <w:spacing w:line="240" w:lineRule="atLeast"/>
        <w:ind w:firstLine="567"/>
      </w:pPr>
      <w:r w:rsidRPr="00C7407A">
        <w:t>Приложения</w:t>
      </w:r>
      <w:r w:rsidRPr="007D1DDC">
        <w:t>:</w:t>
      </w:r>
    </w:p>
    <w:p w:rsidR="007D1DDC" w:rsidRPr="007D1DDC" w:rsidRDefault="007D1DDC" w:rsidP="007D1DDC">
      <w:pPr>
        <w:pStyle w:val="Default"/>
        <w:rPr>
          <w:sz w:val="22"/>
          <w:szCs w:val="22"/>
        </w:rPr>
      </w:pPr>
      <w:r w:rsidRPr="007D1DDC">
        <w:rPr>
          <w:iCs/>
          <w:sz w:val="22"/>
          <w:szCs w:val="22"/>
        </w:rPr>
        <w:t xml:space="preserve">1. Перечень имущества; </w:t>
      </w:r>
    </w:p>
    <w:p w:rsidR="007D1DDC" w:rsidRPr="007D1DDC" w:rsidRDefault="007D1DDC" w:rsidP="007D1DDC">
      <w:pPr>
        <w:pStyle w:val="Default"/>
        <w:rPr>
          <w:sz w:val="22"/>
          <w:szCs w:val="22"/>
        </w:rPr>
      </w:pPr>
      <w:r w:rsidRPr="007D1DDC">
        <w:rPr>
          <w:iCs/>
          <w:sz w:val="22"/>
          <w:szCs w:val="22"/>
        </w:rPr>
        <w:t xml:space="preserve">2. Форма оферты; </w:t>
      </w:r>
    </w:p>
    <w:p w:rsidR="007D1DDC" w:rsidRPr="007D1DDC" w:rsidRDefault="007D1DDC" w:rsidP="007D1DDC">
      <w:pPr>
        <w:pStyle w:val="Default"/>
        <w:rPr>
          <w:sz w:val="22"/>
          <w:szCs w:val="22"/>
        </w:rPr>
      </w:pPr>
      <w:r w:rsidRPr="007D1DDC">
        <w:rPr>
          <w:iCs/>
          <w:sz w:val="22"/>
          <w:szCs w:val="22"/>
        </w:rPr>
        <w:t xml:space="preserve">3.1. Критерии квалификации участников; </w:t>
      </w:r>
    </w:p>
    <w:p w:rsidR="007D1DDC" w:rsidRPr="007D1DDC" w:rsidRDefault="007D1DDC" w:rsidP="007D1DDC">
      <w:pPr>
        <w:pStyle w:val="Default"/>
        <w:rPr>
          <w:sz w:val="22"/>
          <w:szCs w:val="22"/>
        </w:rPr>
      </w:pPr>
      <w:r w:rsidRPr="007D1DDC">
        <w:rPr>
          <w:iCs/>
          <w:sz w:val="22"/>
          <w:szCs w:val="22"/>
        </w:rPr>
        <w:t xml:space="preserve">3.2. Требования к заявкам участников; </w:t>
      </w:r>
    </w:p>
    <w:p w:rsidR="007D1DDC" w:rsidRPr="007D1DDC" w:rsidRDefault="007D1DDC" w:rsidP="007D1DDC">
      <w:pPr>
        <w:pStyle w:val="Default"/>
        <w:rPr>
          <w:sz w:val="22"/>
          <w:szCs w:val="22"/>
        </w:rPr>
      </w:pPr>
      <w:r w:rsidRPr="007D1DDC">
        <w:rPr>
          <w:iCs/>
          <w:sz w:val="22"/>
          <w:szCs w:val="22"/>
        </w:rPr>
        <w:t xml:space="preserve">4. Проект договора купли-продажи; </w:t>
      </w:r>
    </w:p>
    <w:p w:rsidR="007D1DDC" w:rsidRDefault="007D1DDC" w:rsidP="007D1DDC">
      <w:pPr>
        <w:pStyle w:val="Default"/>
        <w:rPr>
          <w:iCs/>
          <w:sz w:val="22"/>
          <w:szCs w:val="22"/>
        </w:rPr>
      </w:pPr>
      <w:r w:rsidRPr="007D1DDC">
        <w:rPr>
          <w:iCs/>
          <w:sz w:val="22"/>
          <w:szCs w:val="22"/>
        </w:rPr>
        <w:t xml:space="preserve">5. Инструкция ПАО «НК «Роснефть» «Проведение низкостоимостной закупки» «Требования к поставщику, предъявляемые при проведении низкостоимостной закупки»; </w:t>
      </w:r>
    </w:p>
    <w:p w:rsidR="007D1DDC" w:rsidRPr="007D1DDC" w:rsidRDefault="007D1DDC" w:rsidP="007D1DDC">
      <w:pPr>
        <w:pStyle w:val="Default"/>
        <w:rPr>
          <w:iCs/>
          <w:sz w:val="22"/>
          <w:szCs w:val="22"/>
        </w:rPr>
      </w:pPr>
      <w:r w:rsidRPr="007D1DDC">
        <w:rPr>
          <w:iCs/>
          <w:sz w:val="22"/>
          <w:szCs w:val="22"/>
        </w:rPr>
        <w:t>6. Форма заявки на участие в процедуре;</w:t>
      </w:r>
    </w:p>
    <w:p w:rsidR="007D1DDC" w:rsidRDefault="007D1DDC" w:rsidP="007D1DDC">
      <w:pPr>
        <w:pStyle w:val="Default"/>
        <w:rPr>
          <w:iCs/>
          <w:sz w:val="22"/>
          <w:szCs w:val="22"/>
        </w:rPr>
      </w:pPr>
      <w:r>
        <w:rPr>
          <w:iCs/>
          <w:sz w:val="22"/>
          <w:szCs w:val="22"/>
        </w:rPr>
        <w:t>7</w:t>
      </w:r>
      <w:r w:rsidRPr="007D1DDC">
        <w:rPr>
          <w:iCs/>
          <w:sz w:val="22"/>
          <w:szCs w:val="22"/>
        </w:rPr>
        <w:t>. Анкета контрагента в электронном формате xlsm с поддержкой макросов</w:t>
      </w:r>
      <w:r w:rsidR="00E26037">
        <w:rPr>
          <w:iCs/>
          <w:sz w:val="22"/>
          <w:szCs w:val="22"/>
        </w:rPr>
        <w:t>.</w:t>
      </w:r>
    </w:p>
    <w:p w:rsidR="00A72489" w:rsidRDefault="00A72489" w:rsidP="007D1DDC">
      <w:pPr>
        <w:pStyle w:val="Default"/>
        <w:rPr>
          <w:iCs/>
          <w:sz w:val="22"/>
          <w:szCs w:val="22"/>
        </w:rPr>
      </w:pPr>
      <w:r>
        <w:rPr>
          <w:iCs/>
          <w:sz w:val="22"/>
          <w:szCs w:val="22"/>
        </w:rPr>
        <w:t>8. Техническое задание.</w:t>
      </w:r>
    </w:p>
    <w:p w:rsidR="007D1DDC" w:rsidRPr="007D1DDC" w:rsidRDefault="007D1DDC" w:rsidP="007D1DDC">
      <w:pPr>
        <w:pStyle w:val="Default"/>
        <w:rPr>
          <w:iCs/>
          <w:sz w:val="22"/>
          <w:szCs w:val="22"/>
        </w:rPr>
      </w:pPr>
    </w:p>
    <w:sectPr w:rsidR="007D1DDC" w:rsidRPr="007D1DDC" w:rsidSect="006A342B">
      <w:pgSz w:w="11906" w:h="16838"/>
      <w:pgMar w:top="851"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E5E" w:rsidRDefault="00D65E5E">
      <w:r>
        <w:separator/>
      </w:r>
    </w:p>
  </w:endnote>
  <w:endnote w:type="continuationSeparator" w:id="0">
    <w:p w:rsidR="00D65E5E" w:rsidRDefault="00D6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E5E" w:rsidRDefault="00D65E5E">
      <w:r>
        <w:separator/>
      </w:r>
    </w:p>
  </w:footnote>
  <w:footnote w:type="continuationSeparator" w:id="0">
    <w:p w:rsidR="00D65E5E" w:rsidRDefault="00D65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97FBD"/>
    <w:multiLevelType w:val="hybridMultilevel"/>
    <w:tmpl w:val="6CCC6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8D7EDF"/>
    <w:multiLevelType w:val="hybridMultilevel"/>
    <w:tmpl w:val="416C4412"/>
    <w:lvl w:ilvl="0" w:tplc="13CCE70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1D3C4241"/>
    <w:multiLevelType w:val="hybridMultilevel"/>
    <w:tmpl w:val="DE90E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C3727B"/>
    <w:multiLevelType w:val="hybridMultilevel"/>
    <w:tmpl w:val="7FAA2EE0"/>
    <w:lvl w:ilvl="0" w:tplc="4E94D5E6">
      <w:start w:val="1"/>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4" w15:restartNumberingAfterBreak="0">
    <w:nsid w:val="290605AA"/>
    <w:multiLevelType w:val="hybridMultilevel"/>
    <w:tmpl w:val="D4986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41466C"/>
    <w:multiLevelType w:val="hybridMultilevel"/>
    <w:tmpl w:val="063C90BC"/>
    <w:lvl w:ilvl="0" w:tplc="4CE0A3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B367407"/>
    <w:multiLevelType w:val="hybridMultilevel"/>
    <w:tmpl w:val="FFC83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5A0884"/>
    <w:multiLevelType w:val="hybridMultilevel"/>
    <w:tmpl w:val="7C40170E"/>
    <w:lvl w:ilvl="0" w:tplc="A17E0942">
      <w:start w:val="1"/>
      <w:numFmt w:val="decimal"/>
      <w:lvlText w:val="%1)"/>
      <w:lvlJc w:val="left"/>
      <w:pPr>
        <w:ind w:left="373" w:hanging="360"/>
      </w:pPr>
      <w:rPr>
        <w:rFonts w:hint="default"/>
      </w:rPr>
    </w:lvl>
    <w:lvl w:ilvl="1" w:tplc="04190019" w:tentative="1">
      <w:start w:val="1"/>
      <w:numFmt w:val="lowerLetter"/>
      <w:lvlText w:val="%2."/>
      <w:lvlJc w:val="left"/>
      <w:pPr>
        <w:ind w:left="1093" w:hanging="360"/>
      </w:pPr>
    </w:lvl>
    <w:lvl w:ilvl="2" w:tplc="0419001B" w:tentative="1">
      <w:start w:val="1"/>
      <w:numFmt w:val="lowerRoman"/>
      <w:lvlText w:val="%3."/>
      <w:lvlJc w:val="right"/>
      <w:pPr>
        <w:ind w:left="1813" w:hanging="180"/>
      </w:pPr>
    </w:lvl>
    <w:lvl w:ilvl="3" w:tplc="0419000F" w:tentative="1">
      <w:start w:val="1"/>
      <w:numFmt w:val="decimal"/>
      <w:lvlText w:val="%4."/>
      <w:lvlJc w:val="left"/>
      <w:pPr>
        <w:ind w:left="2533" w:hanging="360"/>
      </w:pPr>
    </w:lvl>
    <w:lvl w:ilvl="4" w:tplc="04190019" w:tentative="1">
      <w:start w:val="1"/>
      <w:numFmt w:val="lowerLetter"/>
      <w:lvlText w:val="%5."/>
      <w:lvlJc w:val="left"/>
      <w:pPr>
        <w:ind w:left="3253" w:hanging="360"/>
      </w:pPr>
    </w:lvl>
    <w:lvl w:ilvl="5" w:tplc="0419001B" w:tentative="1">
      <w:start w:val="1"/>
      <w:numFmt w:val="lowerRoman"/>
      <w:lvlText w:val="%6."/>
      <w:lvlJc w:val="right"/>
      <w:pPr>
        <w:ind w:left="3973" w:hanging="180"/>
      </w:pPr>
    </w:lvl>
    <w:lvl w:ilvl="6" w:tplc="0419000F" w:tentative="1">
      <w:start w:val="1"/>
      <w:numFmt w:val="decimal"/>
      <w:lvlText w:val="%7."/>
      <w:lvlJc w:val="left"/>
      <w:pPr>
        <w:ind w:left="4693" w:hanging="360"/>
      </w:pPr>
    </w:lvl>
    <w:lvl w:ilvl="7" w:tplc="04190019" w:tentative="1">
      <w:start w:val="1"/>
      <w:numFmt w:val="lowerLetter"/>
      <w:lvlText w:val="%8."/>
      <w:lvlJc w:val="left"/>
      <w:pPr>
        <w:ind w:left="5413" w:hanging="360"/>
      </w:pPr>
    </w:lvl>
    <w:lvl w:ilvl="8" w:tplc="0419001B" w:tentative="1">
      <w:start w:val="1"/>
      <w:numFmt w:val="lowerRoman"/>
      <w:lvlText w:val="%9."/>
      <w:lvlJc w:val="right"/>
      <w:pPr>
        <w:ind w:left="6133" w:hanging="180"/>
      </w:pPr>
    </w:lvl>
  </w:abstractNum>
  <w:abstractNum w:abstractNumId="8" w15:restartNumberingAfterBreak="0">
    <w:nsid w:val="3DF64D60"/>
    <w:multiLevelType w:val="hybridMultilevel"/>
    <w:tmpl w:val="5A54A8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49935F50"/>
    <w:multiLevelType w:val="hybridMultilevel"/>
    <w:tmpl w:val="A53CA2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BD316F1"/>
    <w:multiLevelType w:val="hybridMultilevel"/>
    <w:tmpl w:val="65F60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1B7D2A"/>
    <w:multiLevelType w:val="hybridMultilevel"/>
    <w:tmpl w:val="DB862948"/>
    <w:lvl w:ilvl="0" w:tplc="8FC054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C631656"/>
    <w:multiLevelType w:val="hybridMultilevel"/>
    <w:tmpl w:val="082E2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A6B646A"/>
    <w:multiLevelType w:val="hybridMultilevel"/>
    <w:tmpl w:val="2440F3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19A76A9"/>
    <w:multiLevelType w:val="hybridMultilevel"/>
    <w:tmpl w:val="1CA8B7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76090072"/>
    <w:multiLevelType w:val="hybridMultilevel"/>
    <w:tmpl w:val="912819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DEC20C6"/>
    <w:multiLevelType w:val="multilevel"/>
    <w:tmpl w:val="0C5E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8"/>
  </w:num>
  <w:num w:numId="3">
    <w:abstractNumId w:val="14"/>
  </w:num>
  <w:num w:numId="4">
    <w:abstractNumId w:val="15"/>
  </w:num>
  <w:num w:numId="5">
    <w:abstractNumId w:val="4"/>
  </w:num>
  <w:num w:numId="6">
    <w:abstractNumId w:val="12"/>
  </w:num>
  <w:num w:numId="7">
    <w:abstractNumId w:val="6"/>
  </w:num>
  <w:num w:numId="8">
    <w:abstractNumId w:val="2"/>
  </w:num>
  <w:num w:numId="9">
    <w:abstractNumId w:val="10"/>
  </w:num>
  <w:num w:numId="10">
    <w:abstractNumId w:val="3"/>
  </w:num>
  <w:num w:numId="11">
    <w:abstractNumId w:val="1"/>
  </w:num>
  <w:num w:numId="12">
    <w:abstractNumId w:val="0"/>
  </w:num>
  <w:num w:numId="13">
    <w:abstractNumId w:val="5"/>
  </w:num>
  <w:num w:numId="14">
    <w:abstractNumId w:val="11"/>
  </w:num>
  <w:num w:numId="15">
    <w:abstractNumId w:val="7"/>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660"/>
    <w:rsid w:val="0000696C"/>
    <w:rsid w:val="000105A2"/>
    <w:rsid w:val="00011024"/>
    <w:rsid w:val="0003137B"/>
    <w:rsid w:val="0003348E"/>
    <w:rsid w:val="000424E9"/>
    <w:rsid w:val="00050E30"/>
    <w:rsid w:val="0005497A"/>
    <w:rsid w:val="00063DFA"/>
    <w:rsid w:val="00071035"/>
    <w:rsid w:val="0007287C"/>
    <w:rsid w:val="00073193"/>
    <w:rsid w:val="000809A9"/>
    <w:rsid w:val="00092871"/>
    <w:rsid w:val="000935B5"/>
    <w:rsid w:val="000A616F"/>
    <w:rsid w:val="000C20B3"/>
    <w:rsid w:val="000E1CCB"/>
    <w:rsid w:val="000E2BCE"/>
    <w:rsid w:val="000F047F"/>
    <w:rsid w:val="000F5CB8"/>
    <w:rsid w:val="001010A2"/>
    <w:rsid w:val="00111833"/>
    <w:rsid w:val="001304E2"/>
    <w:rsid w:val="00156826"/>
    <w:rsid w:val="00165CBD"/>
    <w:rsid w:val="00167AAF"/>
    <w:rsid w:val="001805EC"/>
    <w:rsid w:val="001A476E"/>
    <w:rsid w:val="001B00BA"/>
    <w:rsid w:val="001B24D8"/>
    <w:rsid w:val="001B636F"/>
    <w:rsid w:val="001D46CC"/>
    <w:rsid w:val="001D4AFC"/>
    <w:rsid w:val="001F5DD5"/>
    <w:rsid w:val="001F7039"/>
    <w:rsid w:val="00201910"/>
    <w:rsid w:val="00203E21"/>
    <w:rsid w:val="0020611A"/>
    <w:rsid w:val="00210E8F"/>
    <w:rsid w:val="00225311"/>
    <w:rsid w:val="00237E90"/>
    <w:rsid w:val="00250FB6"/>
    <w:rsid w:val="002548F6"/>
    <w:rsid w:val="00262187"/>
    <w:rsid w:val="00264BBE"/>
    <w:rsid w:val="0026627E"/>
    <w:rsid w:val="002720D5"/>
    <w:rsid w:val="002967E4"/>
    <w:rsid w:val="002A106E"/>
    <w:rsid w:val="002A7247"/>
    <w:rsid w:val="002A77E8"/>
    <w:rsid w:val="002A7FFB"/>
    <w:rsid w:val="002E399E"/>
    <w:rsid w:val="002E5A7E"/>
    <w:rsid w:val="0031303D"/>
    <w:rsid w:val="00315281"/>
    <w:rsid w:val="00325B6B"/>
    <w:rsid w:val="00333C69"/>
    <w:rsid w:val="00340BF5"/>
    <w:rsid w:val="00344E44"/>
    <w:rsid w:val="00360B8E"/>
    <w:rsid w:val="003820BB"/>
    <w:rsid w:val="00385CE5"/>
    <w:rsid w:val="003948A8"/>
    <w:rsid w:val="003A7BB2"/>
    <w:rsid w:val="003B025B"/>
    <w:rsid w:val="003B71F9"/>
    <w:rsid w:val="003B7E49"/>
    <w:rsid w:val="003C0904"/>
    <w:rsid w:val="003C4FE1"/>
    <w:rsid w:val="003D0860"/>
    <w:rsid w:val="003D2256"/>
    <w:rsid w:val="003E1AFE"/>
    <w:rsid w:val="003F2195"/>
    <w:rsid w:val="00422288"/>
    <w:rsid w:val="004246A0"/>
    <w:rsid w:val="00424941"/>
    <w:rsid w:val="004451FB"/>
    <w:rsid w:val="00452D24"/>
    <w:rsid w:val="00454634"/>
    <w:rsid w:val="00464A3E"/>
    <w:rsid w:val="00473470"/>
    <w:rsid w:val="00474625"/>
    <w:rsid w:val="004812C4"/>
    <w:rsid w:val="004823C0"/>
    <w:rsid w:val="004846A2"/>
    <w:rsid w:val="004A14AA"/>
    <w:rsid w:val="004A4C60"/>
    <w:rsid w:val="004B64AA"/>
    <w:rsid w:val="004D1211"/>
    <w:rsid w:val="004E0B20"/>
    <w:rsid w:val="004E3A4F"/>
    <w:rsid w:val="004F4D48"/>
    <w:rsid w:val="004F7C0D"/>
    <w:rsid w:val="00503B08"/>
    <w:rsid w:val="00517AE6"/>
    <w:rsid w:val="00536AEE"/>
    <w:rsid w:val="005432E9"/>
    <w:rsid w:val="0055609C"/>
    <w:rsid w:val="00571F22"/>
    <w:rsid w:val="00573B8A"/>
    <w:rsid w:val="0057761B"/>
    <w:rsid w:val="00581232"/>
    <w:rsid w:val="005823CA"/>
    <w:rsid w:val="005B4019"/>
    <w:rsid w:val="00601E0E"/>
    <w:rsid w:val="006165BF"/>
    <w:rsid w:val="00655DAD"/>
    <w:rsid w:val="00656A94"/>
    <w:rsid w:val="00680204"/>
    <w:rsid w:val="00697C6D"/>
    <w:rsid w:val="006A342B"/>
    <w:rsid w:val="006A5838"/>
    <w:rsid w:val="006C462A"/>
    <w:rsid w:val="006D2224"/>
    <w:rsid w:val="006D5378"/>
    <w:rsid w:val="006E1B00"/>
    <w:rsid w:val="006E40F4"/>
    <w:rsid w:val="007016E5"/>
    <w:rsid w:val="007264C7"/>
    <w:rsid w:val="00726C69"/>
    <w:rsid w:val="00735240"/>
    <w:rsid w:val="00743814"/>
    <w:rsid w:val="00743A8F"/>
    <w:rsid w:val="007450A2"/>
    <w:rsid w:val="00745499"/>
    <w:rsid w:val="007801F3"/>
    <w:rsid w:val="007A3DAD"/>
    <w:rsid w:val="007A5746"/>
    <w:rsid w:val="007B1DD7"/>
    <w:rsid w:val="007B2280"/>
    <w:rsid w:val="007B78E0"/>
    <w:rsid w:val="007C33EF"/>
    <w:rsid w:val="007C43B2"/>
    <w:rsid w:val="007D1609"/>
    <w:rsid w:val="007D1DDC"/>
    <w:rsid w:val="007E1E6D"/>
    <w:rsid w:val="007E2EC9"/>
    <w:rsid w:val="007E485B"/>
    <w:rsid w:val="007E71B8"/>
    <w:rsid w:val="007F33F9"/>
    <w:rsid w:val="007F533E"/>
    <w:rsid w:val="0080116C"/>
    <w:rsid w:val="00803E0A"/>
    <w:rsid w:val="00806EF5"/>
    <w:rsid w:val="00811CD0"/>
    <w:rsid w:val="0081506C"/>
    <w:rsid w:val="008418FF"/>
    <w:rsid w:val="00841F0A"/>
    <w:rsid w:val="00857DC5"/>
    <w:rsid w:val="0087182E"/>
    <w:rsid w:val="00873E0B"/>
    <w:rsid w:val="008774A0"/>
    <w:rsid w:val="00883F0C"/>
    <w:rsid w:val="008956E7"/>
    <w:rsid w:val="008B28F1"/>
    <w:rsid w:val="008C0DA5"/>
    <w:rsid w:val="008C5436"/>
    <w:rsid w:val="008D2CD9"/>
    <w:rsid w:val="008D6269"/>
    <w:rsid w:val="00900FAE"/>
    <w:rsid w:val="00905E96"/>
    <w:rsid w:val="0091707D"/>
    <w:rsid w:val="00936080"/>
    <w:rsid w:val="00942020"/>
    <w:rsid w:val="00950073"/>
    <w:rsid w:val="00953DDC"/>
    <w:rsid w:val="009601DC"/>
    <w:rsid w:val="009646BF"/>
    <w:rsid w:val="009646EB"/>
    <w:rsid w:val="009701CD"/>
    <w:rsid w:val="009731BD"/>
    <w:rsid w:val="00973D77"/>
    <w:rsid w:val="009748EA"/>
    <w:rsid w:val="009829BB"/>
    <w:rsid w:val="00991BD3"/>
    <w:rsid w:val="00994660"/>
    <w:rsid w:val="00996198"/>
    <w:rsid w:val="009B1115"/>
    <w:rsid w:val="009B54F0"/>
    <w:rsid w:val="009C1AD9"/>
    <w:rsid w:val="009C2932"/>
    <w:rsid w:val="009C2A12"/>
    <w:rsid w:val="009C5D7E"/>
    <w:rsid w:val="009C7254"/>
    <w:rsid w:val="009D4DBC"/>
    <w:rsid w:val="009D54D4"/>
    <w:rsid w:val="009E15E5"/>
    <w:rsid w:val="009F74A6"/>
    <w:rsid w:val="00A252F9"/>
    <w:rsid w:val="00A30F6F"/>
    <w:rsid w:val="00A31AB7"/>
    <w:rsid w:val="00A40697"/>
    <w:rsid w:val="00A41BBA"/>
    <w:rsid w:val="00A431B9"/>
    <w:rsid w:val="00A6432E"/>
    <w:rsid w:val="00A72489"/>
    <w:rsid w:val="00A77B32"/>
    <w:rsid w:val="00A87B39"/>
    <w:rsid w:val="00A923B6"/>
    <w:rsid w:val="00A96F93"/>
    <w:rsid w:val="00AB2F02"/>
    <w:rsid w:val="00AB6544"/>
    <w:rsid w:val="00AC04C1"/>
    <w:rsid w:val="00AE6F16"/>
    <w:rsid w:val="00B31B98"/>
    <w:rsid w:val="00B32ADF"/>
    <w:rsid w:val="00B63DAA"/>
    <w:rsid w:val="00B728BF"/>
    <w:rsid w:val="00BA6370"/>
    <w:rsid w:val="00BD4707"/>
    <w:rsid w:val="00BD476D"/>
    <w:rsid w:val="00BE2F68"/>
    <w:rsid w:val="00BE41CF"/>
    <w:rsid w:val="00BE6C78"/>
    <w:rsid w:val="00C02417"/>
    <w:rsid w:val="00C1797E"/>
    <w:rsid w:val="00C36CDE"/>
    <w:rsid w:val="00C40CE0"/>
    <w:rsid w:val="00C515EE"/>
    <w:rsid w:val="00C541A1"/>
    <w:rsid w:val="00C73C80"/>
    <w:rsid w:val="00C7407A"/>
    <w:rsid w:val="00CA2BE2"/>
    <w:rsid w:val="00CC0024"/>
    <w:rsid w:val="00CC1835"/>
    <w:rsid w:val="00CC3FCD"/>
    <w:rsid w:val="00CD524F"/>
    <w:rsid w:val="00CE1747"/>
    <w:rsid w:val="00D158D1"/>
    <w:rsid w:val="00D4124E"/>
    <w:rsid w:val="00D44B67"/>
    <w:rsid w:val="00D473AB"/>
    <w:rsid w:val="00D538CD"/>
    <w:rsid w:val="00D614FA"/>
    <w:rsid w:val="00D65E5E"/>
    <w:rsid w:val="00D71B8E"/>
    <w:rsid w:val="00D76B89"/>
    <w:rsid w:val="00D77EE5"/>
    <w:rsid w:val="00D806E2"/>
    <w:rsid w:val="00D85622"/>
    <w:rsid w:val="00DA1B6A"/>
    <w:rsid w:val="00DA63F8"/>
    <w:rsid w:val="00DB6227"/>
    <w:rsid w:val="00DE4949"/>
    <w:rsid w:val="00DE70B8"/>
    <w:rsid w:val="00E15BB8"/>
    <w:rsid w:val="00E206E5"/>
    <w:rsid w:val="00E26037"/>
    <w:rsid w:val="00E409B1"/>
    <w:rsid w:val="00E43C22"/>
    <w:rsid w:val="00E4753A"/>
    <w:rsid w:val="00E56633"/>
    <w:rsid w:val="00E579A7"/>
    <w:rsid w:val="00E64655"/>
    <w:rsid w:val="00E761E2"/>
    <w:rsid w:val="00E84F57"/>
    <w:rsid w:val="00EA2C18"/>
    <w:rsid w:val="00EB283F"/>
    <w:rsid w:val="00EE236B"/>
    <w:rsid w:val="00F01C8F"/>
    <w:rsid w:val="00F21FEC"/>
    <w:rsid w:val="00F267B4"/>
    <w:rsid w:val="00F450FA"/>
    <w:rsid w:val="00F655D3"/>
    <w:rsid w:val="00F83368"/>
    <w:rsid w:val="00F83F9D"/>
    <w:rsid w:val="00F84000"/>
    <w:rsid w:val="00F90F9F"/>
    <w:rsid w:val="00FA07D2"/>
    <w:rsid w:val="00FB0898"/>
    <w:rsid w:val="00FC0918"/>
    <w:rsid w:val="00FD1CD5"/>
    <w:rsid w:val="00FD5659"/>
    <w:rsid w:val="00FF122E"/>
    <w:rsid w:val="00FF5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320F55"/>
  <w15:docId w15:val="{9C7812C3-48C2-4D93-97F0-9529E7DE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0FA"/>
    <w:rPr>
      <w:sz w:val="24"/>
      <w:szCs w:val="24"/>
    </w:rPr>
  </w:style>
  <w:style w:type="paragraph" w:styleId="1">
    <w:name w:val="heading 1"/>
    <w:basedOn w:val="a"/>
    <w:qFormat/>
    <w:rsid w:val="00994660"/>
    <w:pPr>
      <w:spacing w:before="100" w:beforeAutospacing="1" w:after="64"/>
      <w:outlineLvl w:val="0"/>
    </w:pPr>
    <w:rPr>
      <w:rFonts w:ascii="Tahoma" w:hAnsi="Tahoma" w:cs="Tahoma"/>
      <w:color w:val="23446A"/>
      <w:kern w:val="36"/>
      <w:sz w:val="46"/>
      <w:szCs w:val="46"/>
    </w:rPr>
  </w:style>
  <w:style w:type="paragraph" w:styleId="2">
    <w:name w:val="heading 2"/>
    <w:basedOn w:val="a"/>
    <w:qFormat/>
    <w:rsid w:val="00994660"/>
    <w:pPr>
      <w:spacing w:before="100" w:beforeAutospacing="1" w:after="193"/>
      <w:outlineLvl w:val="1"/>
    </w:pPr>
    <w:rPr>
      <w:rFonts w:ascii="Tahoma" w:hAnsi="Tahoma" w:cs="Tahoma"/>
      <w:color w:val="647088"/>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94660"/>
    <w:rPr>
      <w:b/>
      <w:bCs/>
    </w:rPr>
  </w:style>
  <w:style w:type="paragraph" w:customStyle="1" w:styleId="a4">
    <w:name w:val="ФИО"/>
    <w:basedOn w:val="a"/>
    <w:rsid w:val="0020611A"/>
    <w:pPr>
      <w:spacing w:after="180"/>
      <w:ind w:left="5670"/>
    </w:pPr>
    <w:rPr>
      <w:szCs w:val="20"/>
    </w:rPr>
  </w:style>
  <w:style w:type="paragraph" w:styleId="a5">
    <w:name w:val="Title"/>
    <w:basedOn w:val="a"/>
    <w:qFormat/>
    <w:rsid w:val="0020611A"/>
    <w:pPr>
      <w:spacing w:before="480"/>
      <w:ind w:left="567" w:right="567" w:firstLine="720"/>
      <w:jc w:val="center"/>
    </w:pPr>
    <w:rPr>
      <w:caps/>
      <w:kern w:val="28"/>
      <w:szCs w:val="20"/>
    </w:rPr>
  </w:style>
  <w:style w:type="paragraph" w:styleId="10">
    <w:name w:val="index 1"/>
    <w:basedOn w:val="a"/>
    <w:next w:val="a"/>
    <w:autoRedefine/>
    <w:semiHidden/>
    <w:rsid w:val="0020611A"/>
    <w:pPr>
      <w:ind w:left="240" w:hanging="240"/>
    </w:pPr>
  </w:style>
  <w:style w:type="paragraph" w:styleId="a6">
    <w:name w:val="header"/>
    <w:basedOn w:val="a"/>
    <w:rsid w:val="0020611A"/>
    <w:pPr>
      <w:tabs>
        <w:tab w:val="center" w:pos="4677"/>
        <w:tab w:val="right" w:pos="9355"/>
      </w:tabs>
    </w:pPr>
  </w:style>
  <w:style w:type="paragraph" w:styleId="a7">
    <w:name w:val="footer"/>
    <w:basedOn w:val="a"/>
    <w:rsid w:val="0020611A"/>
    <w:pPr>
      <w:tabs>
        <w:tab w:val="center" w:pos="4677"/>
        <w:tab w:val="right" w:pos="9355"/>
      </w:tabs>
    </w:pPr>
  </w:style>
  <w:style w:type="character" w:styleId="a8">
    <w:name w:val="page number"/>
    <w:basedOn w:val="a0"/>
    <w:rsid w:val="0020611A"/>
  </w:style>
  <w:style w:type="character" w:styleId="a9">
    <w:name w:val="Hyperlink"/>
    <w:basedOn w:val="a0"/>
    <w:rsid w:val="004246A0"/>
    <w:rPr>
      <w:color w:val="0000FF"/>
      <w:u w:val="single"/>
    </w:rPr>
  </w:style>
  <w:style w:type="paragraph" w:styleId="aa">
    <w:name w:val="List Paragraph"/>
    <w:basedOn w:val="a"/>
    <w:uiPriority w:val="34"/>
    <w:qFormat/>
    <w:rsid w:val="006D2224"/>
    <w:pPr>
      <w:ind w:left="720"/>
      <w:contextualSpacing/>
    </w:pPr>
  </w:style>
  <w:style w:type="paragraph" w:styleId="ab">
    <w:name w:val="Balloon Text"/>
    <w:basedOn w:val="a"/>
    <w:link w:val="ac"/>
    <w:rsid w:val="00697C6D"/>
    <w:rPr>
      <w:rFonts w:ascii="Tahoma" w:hAnsi="Tahoma" w:cs="Tahoma"/>
      <w:sz w:val="16"/>
      <w:szCs w:val="16"/>
    </w:rPr>
  </w:style>
  <w:style w:type="character" w:customStyle="1" w:styleId="ac">
    <w:name w:val="Текст выноски Знак"/>
    <w:basedOn w:val="a0"/>
    <w:link w:val="ab"/>
    <w:rsid w:val="00697C6D"/>
    <w:rPr>
      <w:rFonts w:ascii="Tahoma" w:hAnsi="Tahoma" w:cs="Tahoma"/>
      <w:sz w:val="16"/>
      <w:szCs w:val="16"/>
    </w:rPr>
  </w:style>
  <w:style w:type="character" w:styleId="ad">
    <w:name w:val="FollowedHyperlink"/>
    <w:basedOn w:val="a0"/>
    <w:rsid w:val="00905E96"/>
    <w:rPr>
      <w:color w:val="800080" w:themeColor="followedHyperlink"/>
      <w:u w:val="single"/>
    </w:rPr>
  </w:style>
  <w:style w:type="paragraph" w:customStyle="1" w:styleId="Default">
    <w:name w:val="Default"/>
    <w:rsid w:val="004451F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829734">
      <w:bodyDiv w:val="1"/>
      <w:marLeft w:val="0"/>
      <w:marRight w:val="0"/>
      <w:marTop w:val="0"/>
      <w:marBottom w:val="0"/>
      <w:divBdr>
        <w:top w:val="none" w:sz="0" w:space="0" w:color="auto"/>
        <w:left w:val="none" w:sz="0" w:space="0" w:color="auto"/>
        <w:bottom w:val="none" w:sz="0" w:space="0" w:color="auto"/>
        <w:right w:val="none" w:sz="0" w:space="0" w:color="auto"/>
      </w:divBdr>
      <w:divsChild>
        <w:div w:id="378749488">
          <w:marLeft w:val="0"/>
          <w:marRight w:val="0"/>
          <w:marTop w:val="0"/>
          <w:marBottom w:val="129"/>
          <w:divBdr>
            <w:top w:val="single" w:sz="4" w:space="4" w:color="9E9E9E"/>
            <w:left w:val="single" w:sz="4" w:space="6" w:color="9E9E9E"/>
            <w:bottom w:val="none" w:sz="0" w:space="0" w:color="auto"/>
            <w:right w:val="none" w:sz="0" w:space="0" w:color="auto"/>
          </w:divBdr>
        </w:div>
        <w:div w:id="465899467">
          <w:marLeft w:val="0"/>
          <w:marRight w:val="0"/>
          <w:marTop w:val="0"/>
          <w:marBottom w:val="129"/>
          <w:divBdr>
            <w:top w:val="single" w:sz="4" w:space="4" w:color="9E9E9E"/>
            <w:left w:val="single" w:sz="4" w:space="6" w:color="9E9E9E"/>
            <w:bottom w:val="none" w:sz="0" w:space="0" w:color="auto"/>
            <w:right w:val="none" w:sz="0" w:space="0" w:color="auto"/>
          </w:divBdr>
        </w:div>
        <w:div w:id="564881522">
          <w:marLeft w:val="0"/>
          <w:marRight w:val="0"/>
          <w:marTop w:val="257"/>
          <w:marBottom w:val="129"/>
          <w:divBdr>
            <w:top w:val="none" w:sz="0" w:space="0" w:color="auto"/>
            <w:left w:val="none" w:sz="0" w:space="0" w:color="auto"/>
            <w:bottom w:val="none" w:sz="0" w:space="0" w:color="auto"/>
            <w:right w:val="none" w:sz="0" w:space="0" w:color="auto"/>
          </w:divBdr>
        </w:div>
        <w:div w:id="909081109">
          <w:marLeft w:val="0"/>
          <w:marRight w:val="0"/>
          <w:marTop w:val="0"/>
          <w:marBottom w:val="129"/>
          <w:divBdr>
            <w:top w:val="single" w:sz="4" w:space="4" w:color="9E9E9E"/>
            <w:left w:val="single" w:sz="4" w:space="6" w:color="9E9E9E"/>
            <w:bottom w:val="none" w:sz="0" w:space="0" w:color="auto"/>
            <w:right w:val="none" w:sz="0" w:space="0" w:color="auto"/>
          </w:divBdr>
        </w:div>
        <w:div w:id="933435978">
          <w:marLeft w:val="0"/>
          <w:marRight w:val="0"/>
          <w:marTop w:val="0"/>
          <w:marBottom w:val="129"/>
          <w:divBdr>
            <w:top w:val="single" w:sz="4" w:space="4" w:color="9E9E9E"/>
            <w:left w:val="single" w:sz="4" w:space="6" w:color="9E9E9E"/>
            <w:bottom w:val="none" w:sz="0" w:space="0" w:color="auto"/>
            <w:right w:val="none" w:sz="0" w:space="0" w:color="auto"/>
          </w:divBdr>
        </w:div>
        <w:div w:id="933708169">
          <w:marLeft w:val="0"/>
          <w:marRight w:val="0"/>
          <w:marTop w:val="0"/>
          <w:marBottom w:val="129"/>
          <w:divBdr>
            <w:top w:val="single" w:sz="4" w:space="4" w:color="9E9E9E"/>
            <w:left w:val="single" w:sz="4" w:space="6" w:color="9E9E9E"/>
            <w:bottom w:val="none" w:sz="0" w:space="0" w:color="auto"/>
            <w:right w:val="none" w:sz="0" w:space="0" w:color="auto"/>
          </w:divBdr>
        </w:div>
        <w:div w:id="991104872">
          <w:marLeft w:val="0"/>
          <w:marRight w:val="0"/>
          <w:marTop w:val="0"/>
          <w:marBottom w:val="386"/>
          <w:divBdr>
            <w:top w:val="none" w:sz="0" w:space="0" w:color="auto"/>
            <w:left w:val="none" w:sz="0" w:space="0" w:color="auto"/>
            <w:bottom w:val="none" w:sz="0" w:space="0" w:color="auto"/>
            <w:right w:val="none" w:sz="0" w:space="0" w:color="auto"/>
          </w:divBdr>
        </w:div>
        <w:div w:id="1718698427">
          <w:marLeft w:val="0"/>
          <w:marRight w:val="0"/>
          <w:marTop w:val="0"/>
          <w:marBottom w:val="129"/>
          <w:divBdr>
            <w:top w:val="single" w:sz="4" w:space="4" w:color="9E9E9E"/>
            <w:left w:val="single" w:sz="4" w:space="6" w:color="9E9E9E"/>
            <w:bottom w:val="none" w:sz="0" w:space="0" w:color="auto"/>
            <w:right w:val="none" w:sz="0" w:space="0" w:color="auto"/>
          </w:divBdr>
        </w:div>
      </w:divsChild>
    </w:div>
    <w:div w:id="730731224">
      <w:bodyDiv w:val="1"/>
      <w:marLeft w:val="0"/>
      <w:marRight w:val="0"/>
      <w:marTop w:val="0"/>
      <w:marBottom w:val="0"/>
      <w:divBdr>
        <w:top w:val="none" w:sz="0" w:space="0" w:color="auto"/>
        <w:left w:val="none" w:sz="0" w:space="0" w:color="auto"/>
        <w:bottom w:val="none" w:sz="0" w:space="0" w:color="auto"/>
        <w:right w:val="none" w:sz="0" w:space="0" w:color="auto"/>
      </w:divBdr>
    </w:div>
    <w:div w:id="183240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ktorg.ru/sale/procedures/13325505" TargetMode="External"/><Relationship Id="rId13" Type="http://schemas.openxmlformats.org/officeDocument/2006/relationships/hyperlink" Target="mailto:dvkrotkov@rn-burenie.rosneft.ru%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hagishev@rn-burenie.rosnef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davydov@rn-burtnie.rosnef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ale.tektorg.ru" TargetMode="External"/><Relationship Id="rId4" Type="http://schemas.openxmlformats.org/officeDocument/2006/relationships/settings" Target="settings.xml"/><Relationship Id="rId9" Type="http://schemas.openxmlformats.org/officeDocument/2006/relationships/hyperlink" Target="https://www.tektorg.ru/sale/procedures/13325505" TargetMode="External"/><Relationship Id="rId14" Type="http://schemas.openxmlformats.org/officeDocument/2006/relationships/hyperlink" Target="mailto:pakolbasov@rn-burenie.rosnef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B4F58-EBE1-4D35-97E0-3FFBC4CA1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1578</Words>
  <Characters>8999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Название объекта</vt:lpstr>
    </vt:vector>
  </TitlesOfParts>
  <Company>ОАО "НК Роснефть"</Company>
  <LinksUpToDate>false</LinksUpToDate>
  <CharactersWithSpaces>10556</CharactersWithSpaces>
  <SharedDoc>false</SharedDoc>
  <HLinks>
    <vt:vector size="6" baseType="variant">
      <vt:variant>
        <vt:i4>2555975</vt:i4>
      </vt:variant>
      <vt:variant>
        <vt:i4>0</vt:i4>
      </vt:variant>
      <vt:variant>
        <vt:i4>0</vt:i4>
      </vt:variant>
      <vt:variant>
        <vt:i4>5</vt:i4>
      </vt:variant>
      <vt:variant>
        <vt:lpwstr>mailto:RN-Burenie@incosys.ru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объекта</dc:title>
  <dc:creator>saberdennikov</dc:creator>
  <cp:lastModifiedBy>Колбасов Павел Александрович</cp:lastModifiedBy>
  <cp:revision>5</cp:revision>
  <cp:lastPrinted>2016-01-24T07:29:00Z</cp:lastPrinted>
  <dcterms:created xsi:type="dcterms:W3CDTF">2024-01-16T05:02:00Z</dcterms:created>
  <dcterms:modified xsi:type="dcterms:W3CDTF">2025-03-05T09:33:00Z</dcterms:modified>
</cp:coreProperties>
</file>