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1F0A04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1F0A04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1F0A04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1F0A04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1F0A04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1F0A04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default" r:id="rId8"/>
          <w:footerReference w:type="default" r:id="rId9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 xml:space="preserve">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1F0A04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5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5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6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7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8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2745F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2745F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2745F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2745F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2745F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9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9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0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1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lastRenderedPageBreak/>
        <w:t>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2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2745F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10 000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3" w:name="_Toc8647027"/>
      <w:bookmarkStart w:id="14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3"/>
      <w:bookmarkEnd w:id="14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5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6" w:name="_Toc99118092"/>
      <w:bookmarkStart w:id="17" w:name="_Toc8647037"/>
      <w:r>
        <w:rPr>
          <w:lang w:val="ru-RU"/>
        </w:rPr>
        <w:t>О предоставлении бухгалтерской отчетности</w:t>
      </w:r>
      <w:bookmarkEnd w:id="16"/>
      <w:bookmarkEnd w:id="17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2745F7">
        <w:rPr>
          <w:rFonts w:ascii="Times New Roman" w:hAnsi="Times New Roman" w:cs="Times New Roman"/>
          <w:sz w:val="24"/>
          <w:szCs w:val="24"/>
        </w:rPr>
        <w:t> 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тандартные налоговые оговорки</w:t>
      </w: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Продавец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t>Покупателем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Покупатель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Продавец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t>Покупателю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E943CA" w:rsidRPr="00E943CA" w:rsidRDefault="00E943CA" w:rsidP="00E943CA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ОГ (договоры купли-продажи, подряда, оказания услуг и тп.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> </w:t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> </w:t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> </w:t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> </w:t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> 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Покупатель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 приобретению/ реализации/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45F7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 возмещении имущественных потерь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70CD5" w:rsidRPr="00E943CA">
        <w:rPr>
          <w:rFonts w:ascii="Times New Roman" w:hAnsi="Times New Roman" w:cs="Times New Roman"/>
          <w:sz w:val="24"/>
          <w:szCs w:val="24"/>
        </w:rPr>
      </w:r>
      <w:r w:rsidR="001F0A04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1F0A04">
        <w:rPr>
          <w:rFonts w:ascii="Times New Roman" w:hAnsi="Times New Roman" w:cs="Times New Roman"/>
          <w:sz w:val="24"/>
          <w:szCs w:val="24"/>
        </w:rPr>
      </w:r>
      <w:r w:rsidR="001F0A04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numPr>
          <w:ilvl w:val="0"/>
          <w:numId w:val="42"/>
        </w:numPr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Настоящим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0CD5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Покупатель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порядке ст. 406.1 ГК РФ обязуется возместить имущественные потери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0CD5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Продаваца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возникшие при наступлении следующих обстоятельств (не связанных с нарушением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="00270CD5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Покупателя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Договором/Соглашением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): 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spacing w:after="0"/>
        <w:ind w:left="0" w:firstLine="360"/>
        <w:jc w:val="both"/>
        <w:rPr>
          <w:color w:val="000000"/>
        </w:rPr>
      </w:pPr>
      <w:r w:rsidRPr="00E943CA">
        <w:rPr>
          <w:color w:val="000000"/>
        </w:rPr>
        <w:t xml:space="preserve">предъявления налоговыми органами требований к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Продавцу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>об уплате сумм налогов, пени, штрафов;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color w:val="000000"/>
        </w:rPr>
        <w:t xml:space="preserve">отказа налоговыми органами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Продавцу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в вычетах расходов или налоговых вычетах по НДС по итогам налоговых проверок, </w:t>
      </w:r>
      <w:r w:rsidRPr="00E943CA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Покупателя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, а также в связи с привлечением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Покупателя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Покупатель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обязуется возместить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Продавцу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все возникшие у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Продавца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вызванные возникновением обстоятельств, перечисленных в пункте 1 настоящей оговорки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="00B82469">
        <w:rPr>
          <w:rFonts w:eastAsia="Calibri"/>
          <w:i/>
          <w:noProof/>
          <w:highlight w:val="darkGray"/>
        </w:rPr>
        <w:t> 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.</w:t>
      </w:r>
      <w:r w:rsidRPr="00E943CA">
        <w:rPr>
          <w:rFonts w:eastAsia="Calibri"/>
          <w:i/>
          <w:noProof/>
          <w:highlight w:val="darkGray"/>
        </w:rPr>
        <w:fldChar w:fldCharType="end"/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color w:val="000000"/>
        </w:rPr>
        <w:t xml:space="preserve">Имущественные потери подлежат возмещению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Покупателе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 в течение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10 (десяти)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рабочих дней с даты получения соответствующего требования от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Продавца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. </w:t>
      </w:r>
      <w:r w:rsidRPr="00E943CA">
        <w:t xml:space="preserve">К требованию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Продавца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 xml:space="preserve">прилагаются документы, подтверждающие, что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Продавец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>понес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(ла)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или что имущественные потери с неизбежностью будут понесены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Продацвом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E943CA">
        <w:rPr>
          <w:rStyle w:val="afb"/>
          <w:rFonts w:eastAsiaTheme="majorEastAsia"/>
        </w:rPr>
        <w:t xml:space="preserve">При этом факт оспаривания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Продавцом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>Покупат</w:t>
      </w:r>
      <w:r w:rsidRPr="00E943CA">
        <w:rPr>
          <w:i/>
          <w:noProof/>
          <w:highlight w:val="darkGray"/>
        </w:rPr>
        <w:t>е</w:t>
      </w:r>
      <w:r w:rsidR="00B82469">
        <w:rPr>
          <w:i/>
          <w:noProof/>
          <w:highlight w:val="darkGray"/>
        </w:rPr>
        <w:t>лю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возместить имущественные потери. </w:t>
      </w:r>
    </w:p>
    <w:p w:rsidR="00E943CA" w:rsidRPr="00E943CA" w:rsidRDefault="00E943CA" w:rsidP="00E943CA">
      <w:pPr>
        <w:pStyle w:val="af2"/>
        <w:autoSpaceDE w:val="0"/>
        <w:autoSpaceDN w:val="0"/>
        <w:adjustRightInd w:val="0"/>
        <w:spacing w:after="0"/>
        <w:ind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E943CA">
        <w:rPr>
          <w:i/>
          <w:noProof/>
        </w:rPr>
        <w:instrText xml:space="preserve"> FORMTEXT </w:instrText>
      </w:r>
      <w:r w:rsidRPr="00E943CA">
        <w:rPr>
          <w:i/>
          <w:noProof/>
        </w:rPr>
      </w:r>
      <w:r w:rsidRPr="00E943CA">
        <w:rPr>
          <w:i/>
          <w:noProof/>
        </w:rPr>
        <w:fldChar w:fldCharType="separate"/>
      </w:r>
      <w:r w:rsidRPr="00E943CA">
        <w:rPr>
          <w:i/>
          <w:noProof/>
        </w:rPr>
        <w:t xml:space="preserve">4. </w:t>
      </w:r>
      <w:r w:rsidRPr="00E943CA">
        <w:rPr>
          <w:i/>
          <w:noProof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="00B82469">
        <w:rPr>
          <w:i/>
          <w:noProof/>
          <w:highlight w:val="darkGray"/>
        </w:rPr>
        <w:t xml:space="preserve">Продавцом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самостоятельно по своему усмотрению.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rStyle w:val="afb"/>
          <w:rFonts w:eastAsiaTheme="majorEastAsia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  <w:lang w:val="ru-RU"/>
        </w:rPr>
      </w:pPr>
    </w:p>
    <w:p w:rsidR="00E943CA" w:rsidRPr="00E943CA" w:rsidRDefault="00E943CA" w:rsidP="00706366">
      <w:pPr>
        <w:pStyle w:val="a4"/>
        <w:widowControl/>
        <w:suppressAutoHyphens/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российских ОГ: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1F0A04">
        <w:rPr>
          <w:rFonts w:ascii="Times New Roman" w:hAnsi="Times New Roman" w:cs="Times New Roman"/>
          <w:sz w:val="24"/>
          <w:szCs w:val="24"/>
        </w:rPr>
      </w:r>
      <w:r w:rsidR="001F0A04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82469" w:rsidRPr="00E943CA">
        <w:rPr>
          <w:rFonts w:ascii="Times New Roman" w:hAnsi="Times New Roman" w:cs="Times New Roman"/>
          <w:sz w:val="24"/>
          <w:szCs w:val="24"/>
        </w:rPr>
      </w:r>
      <w:r w:rsidR="001F0A04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E943CA">
        <w:rPr>
          <w:rFonts w:ascii="Times New Roman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E943CA">
        <w:rPr>
          <w:rFonts w:ascii="Times New Roman" w:hAnsi="Times New Roman" w:cs="Times New Roman"/>
          <w:sz w:val="24"/>
          <w:szCs w:val="24"/>
        </w:rPr>
        <w:t>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E943CA">
        <w:rPr>
          <w:rFonts w:ascii="Times New Roman" w:hAnsi="Times New Roman" w:cs="Times New Roman"/>
          <w:sz w:val="24"/>
          <w:szCs w:val="24"/>
        </w:rPr>
        <w:t>ii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 освобождаются от налогообложения (далее – Льготные положения),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проинформирует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должна представить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для целей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применения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Льготных положений.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оказывать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его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(ее)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окажет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В случае удержания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из выплат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 об уплате налога в адрес компетентных органов соответствующего иностранного государства,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 связи с получением от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Контрагента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6366" w:rsidRPr="00E943CA" w:rsidRDefault="00706366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</w:t>
      </w:r>
      <w:r w:rsidRPr="000C6B3C">
        <w:rPr>
          <w:rFonts w:ascii="Times New Roman" w:hAnsi="Times New Roman"/>
          <w:sz w:val="24"/>
          <w:szCs w:val="24"/>
          <w:lang w:val="ru-RU"/>
        </w:rPr>
        <w:lastRenderedPageBreak/>
        <w:t>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a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449"/>
      </w:tblGrid>
      <w:tr w:rsidR="001A77A7" w:rsidTr="00CF6C38">
        <w:tc>
          <w:tcPr>
            <w:tcW w:w="4672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 w:rsidR="00B82469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 xml:space="preserve">ПАО "Удмуртнефть" им.В.И.Кудинов 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="00B824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 </w:t>
            </w:r>
            <w:r w:rsidR="00B824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 </w:t>
            </w:r>
            <w:r w:rsidR="00B824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 </w:t>
            </w:r>
            <w:r w:rsidR="00B824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 </w:t>
            </w:r>
            <w:r w:rsidR="00B824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 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="00B82469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Заместитель генерального директор по МТО и транспорту 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4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B824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>FORMTEXT</w:instrText>
            </w:r>
            <w:r w:rsidRPr="00B824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B82469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Р.Б.Абашев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tabs>
                <w:tab w:val="left" w:pos="9390"/>
              </w:tabs>
              <w:spacing w:before="120" w:after="120" w:line="276" w:lineRule="auto"/>
              <w:ind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3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Покупателя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наименование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должность, ФИО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И.О. Фамилия/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1B14AC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9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1B14AC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24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ПАО "Удмуртнефть" им.В.И. Кудинова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8246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24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Заместитель генерального директора по МТО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24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Р.Б. Абашев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_»_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F5FE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ПАО "Удмуртнефть" им.В.И. Кудинова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AF5FE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F5F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Заместитель генерального директора по МТО и транспорту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F5F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Р.Б. Абашев</w:t>
            </w:r>
            <w:bookmarkStart w:id="20" w:name="_GoBack"/>
            <w:bookmarkEnd w:id="20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1F0A04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1F0A04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1F0A04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1F0A04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1F0A04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1F0A04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1AE" w:rsidRDefault="003671AE" w:rsidP="000B6615">
      <w:r>
        <w:separator/>
      </w:r>
    </w:p>
  </w:endnote>
  <w:endnote w:type="continuationSeparator" w:id="0">
    <w:p w:rsidR="003671AE" w:rsidRDefault="003671AE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F0A04" w:rsidRPr="007A44FA" w:rsidRDefault="001F0A04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AF5FE8" w:rsidRPr="00AF5FE8">
          <w:rPr>
            <w:rFonts w:ascii="Times New Roman" w:hAnsi="Times New Roman" w:cs="Times New Roman"/>
            <w:noProof/>
            <w:sz w:val="24"/>
            <w:lang w:val="ru-RU"/>
          </w:rPr>
          <w:t>24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1AE" w:rsidRDefault="003671AE" w:rsidP="000B6615">
      <w:r>
        <w:separator/>
      </w:r>
    </w:p>
  </w:footnote>
  <w:footnote w:type="continuationSeparator" w:id="0">
    <w:p w:rsidR="003671AE" w:rsidRDefault="003671AE" w:rsidP="000B6615">
      <w:r>
        <w:continuationSeparator/>
      </w:r>
    </w:p>
  </w:footnote>
  <w:footnote w:id="1">
    <w:p w:rsidR="001F0A04" w:rsidRDefault="001F0A04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A04" w:rsidRDefault="001F0A04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7" o:spid="_x0000_s2055" type="#_x0000_t136" style="position:absolute;margin-left:0;margin-top:0;width:572.6pt;height:104.1pt;rotation:315;z-index:25166438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6"/>
  </w:num>
  <w:num w:numId="4">
    <w:abstractNumId w:val="5"/>
  </w:num>
  <w:num w:numId="5">
    <w:abstractNumId w:val="17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8"/>
  </w:num>
  <w:num w:numId="13">
    <w:abstractNumId w:val="7"/>
  </w:num>
  <w:num w:numId="14">
    <w:abstractNumId w:val="34"/>
  </w:num>
  <w:num w:numId="15">
    <w:abstractNumId w:val="2"/>
  </w:num>
  <w:num w:numId="16">
    <w:abstractNumId w:val="38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8"/>
  </w:num>
  <w:num w:numId="30">
    <w:abstractNumId w:val="33"/>
  </w:num>
  <w:num w:numId="31">
    <w:abstractNumId w:val="32"/>
  </w:num>
  <w:num w:numId="32">
    <w:abstractNumId w:val="11"/>
  </w:num>
  <w:num w:numId="33">
    <w:abstractNumId w:val="26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GxnTD8lKWNxEeyVhooRjU0Ln2B+8KlapLO21j+j/tduO1YCN2DKDU2OSmMhRTwz7dwOFEPjKnXxb7nTJEUB4Yw==" w:salt="sQvkCp3hK5XigzCE5IxibA==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452E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A77A7"/>
    <w:rsid w:val="001B14AC"/>
    <w:rsid w:val="001B3511"/>
    <w:rsid w:val="001D113C"/>
    <w:rsid w:val="001D49B4"/>
    <w:rsid w:val="001D660E"/>
    <w:rsid w:val="001F0209"/>
    <w:rsid w:val="001F0A04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0CD5"/>
    <w:rsid w:val="00271465"/>
    <w:rsid w:val="00272C0D"/>
    <w:rsid w:val="002745F7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1AE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6B4E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173E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06366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5FE8"/>
    <w:rsid w:val="00B073E9"/>
    <w:rsid w:val="00B0778A"/>
    <w:rsid w:val="00B10336"/>
    <w:rsid w:val="00B1034A"/>
    <w:rsid w:val="00B11D97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469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CF6C38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43CA"/>
    <w:rsid w:val="00E9610D"/>
    <w:rsid w:val="00E97819"/>
    <w:rsid w:val="00EA062A"/>
    <w:rsid w:val="00EA7CAC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5539D833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99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Заголовок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styleId="af9">
    <w:name w:val="Plain Text"/>
    <w:basedOn w:val="a"/>
    <w:link w:val="afa"/>
    <w:uiPriority w:val="99"/>
    <w:unhideWhenUsed/>
    <w:rsid w:val="00E943CA"/>
    <w:pPr>
      <w:widowControl/>
      <w:jc w:val="both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a">
    <w:name w:val="Текст Знак"/>
    <w:basedOn w:val="a0"/>
    <w:link w:val="af9"/>
    <w:uiPriority w:val="99"/>
    <w:rsid w:val="00E943CA"/>
    <w:rPr>
      <w:rFonts w:ascii="Courier New" w:eastAsia="Times New Roman" w:hAnsi="Courier New" w:cs="Times New Roman"/>
      <w:sz w:val="20"/>
      <w:szCs w:val="20"/>
      <w:lang w:val="ru-RU"/>
    </w:rPr>
  </w:style>
  <w:style w:type="character" w:styleId="afb">
    <w:name w:val="Emphasis"/>
    <w:basedOn w:val="a0"/>
    <w:uiPriority w:val="20"/>
    <w:qFormat/>
    <w:rsid w:val="00E9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D160D-60D0-413E-9D20-A75FD545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12281</Words>
  <Characters>70004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Князев Алексей Юрьевич</cp:lastModifiedBy>
  <cp:revision>5</cp:revision>
  <dcterms:created xsi:type="dcterms:W3CDTF">2024-02-08T10:45:00Z</dcterms:created>
  <dcterms:modified xsi:type="dcterms:W3CDTF">2024-02-12T09:43:00Z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PSJ09ARnNLlX00002X166m</vt:lpwstr>
  </property>
</Properties>
</file>