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B91525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="00B91525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</w:t>
      </w:r>
      <w:r w:rsidR="00B91525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Д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B915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___202</w:t>
      </w:r>
      <w:r w:rsidR="002B16E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B915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г.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2B16E5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2B16E5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2B16E5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2B16E5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proofErr w:type="gramStart"/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</w:t>
      </w:r>
      <w:proofErr w:type="gramStart"/>
      <w:r w:rsidRPr="0093389F">
        <w:rPr>
          <w:szCs w:val="24"/>
          <w:lang w:val="ru-RU"/>
        </w:rPr>
        <w:t>ознакомился с содержанием и обязуется</w:t>
      </w:r>
      <w:proofErr w:type="gramEnd"/>
      <w:r w:rsidRPr="0093389F">
        <w:rPr>
          <w:szCs w:val="24"/>
          <w:lang w:val="ru-RU"/>
        </w:rPr>
        <w:t xml:space="preserve">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proofErr w:type="gramStart"/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  <w:proofErr w:type="gramEnd"/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иные действия, выполняемые работником в </w:t>
      </w:r>
      <w:proofErr w:type="gramStart"/>
      <w:r w:rsidRPr="00083AB2">
        <w:rPr>
          <w:rFonts w:ascii="Times New Roman" w:hAnsi="Times New Roman" w:cs="Times New Roman"/>
          <w:sz w:val="24"/>
          <w:szCs w:val="24"/>
          <w:lang w:val="ru-RU"/>
        </w:rPr>
        <w:t>рамках</w:t>
      </w:r>
      <w:proofErr w:type="gramEnd"/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 xml:space="preserve">Это подтверждение должно быть направлено в течение 5 (пяти) рабочих дней </w:t>
      </w:r>
      <w:proofErr w:type="gramStart"/>
      <w:r w:rsidRPr="0093389F">
        <w:rPr>
          <w:bCs/>
          <w:szCs w:val="24"/>
          <w:lang w:val="ru-RU"/>
        </w:rPr>
        <w:t>с даты направления</w:t>
      </w:r>
      <w:proofErr w:type="gramEnd"/>
      <w:r w:rsidRPr="0093389F">
        <w:rPr>
          <w:bCs/>
          <w:szCs w:val="24"/>
          <w:lang w:val="ru-RU"/>
        </w:rPr>
        <w:t xml:space="preserve">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proofErr w:type="gramStart"/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</w:t>
      </w:r>
      <w:proofErr w:type="gramEnd"/>
      <w:r w:rsidRPr="0093389F">
        <w:rPr>
          <w:szCs w:val="24"/>
          <w:lang w:val="ru-RU"/>
        </w:rPr>
        <w:t xml:space="preserve">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>признают проведение процедур по предотвращению коррупции и контролируют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Информация). </w:t>
      </w:r>
      <w:proofErr w:type="gramEnd"/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>с даты внесения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>носителе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</w:t>
      </w:r>
      <w:proofErr w:type="gramStart"/>
      <w:r w:rsidRPr="002A1698">
        <w:rPr>
          <w:rFonts w:ascii="Times New Roman" w:hAnsi="Times New Roman" w:cs="Times New Roman"/>
          <w:sz w:val="24"/>
          <w:szCs w:val="24"/>
          <w:lang w:val="ru-RU"/>
        </w:rPr>
        <w:t>настоящем</w:t>
      </w:r>
      <w:proofErr w:type="gramEnd"/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</w:t>
      </w:r>
      <w:proofErr w:type="gramStart"/>
      <w:r w:rsidRPr="008476DD">
        <w:rPr>
          <w:rFonts w:ascii="Times New Roman" w:hAnsi="Times New Roman" w:cs="Times New Roman"/>
          <w:sz w:val="24"/>
          <w:szCs w:val="24"/>
          <w:lang w:val="ru-RU"/>
        </w:rPr>
        <w:t>целом</w:t>
      </w:r>
      <w:proofErr w:type="gramEnd"/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proofErr w:type="gramStart"/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  <w:proofErr w:type="gramEnd"/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proofErr w:type="gramStart"/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в виде сумм возмещения морального и/или имущественного вреда, подлежащих возмещению субъекту персональных данных</w:t>
      </w:r>
      <w:proofErr w:type="gramEnd"/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</w:t>
      </w:r>
      <w:proofErr w:type="gramEnd"/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  <w:proofErr w:type="gramEnd"/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дополненной отсутствующей информацией с указанием сроков ее предоставления.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порядке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8936CE" w:rsidRDefault="008936CE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9B5E8D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9B5E8D">
        <w:rPr>
          <w:rFonts w:ascii="Times New Roman" w:hAnsi="Times New Roman"/>
          <w:color w:val="000000" w:themeColor="text1"/>
        </w:rPr>
        <w:instrText xml:space="preserve"> FORMTEXT </w:instrText>
      </w:r>
      <w:r w:rsidRPr="009B5E8D">
        <w:rPr>
          <w:rFonts w:ascii="Times New Roman" w:hAnsi="Times New Roman"/>
          <w:color w:val="000000" w:themeColor="text1"/>
        </w:rPr>
      </w:r>
      <w:r w:rsidRPr="009B5E8D">
        <w:rPr>
          <w:rFonts w:ascii="Times New Roman" w:hAnsi="Times New Roman"/>
          <w:color w:val="000000" w:themeColor="text1"/>
        </w:rPr>
        <w:fldChar w:fldCharType="separate"/>
      </w:r>
      <w:r w:rsidRPr="009B5E8D">
        <w:rPr>
          <w:rFonts w:ascii="Times New Roman" w:hAnsi="Times New Roman"/>
          <w:color w:val="000000" w:themeColor="text1"/>
        </w:rPr>
        <w:t>1.</w:t>
      </w:r>
      <w:r w:rsidRPr="009B5E8D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Для целей </w:t>
      </w:r>
      <w:proofErr w:type="gramStart"/>
      <w:r w:rsidRPr="008936CE">
        <w:rPr>
          <w:rFonts w:ascii="Times New Roman" w:hAnsi="Times New Roman"/>
          <w:color w:val="000000" w:themeColor="text1"/>
        </w:rPr>
        <w:t>настоящего раздела термины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: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lastRenderedPageBreak/>
        <w:t xml:space="preserve">«Раскрывающая сторона» означает для целей каждого случая обмена Конфиденциальной Информацией в </w:t>
      </w:r>
      <w:proofErr w:type="gramStart"/>
      <w:r w:rsidRPr="008936CE">
        <w:rPr>
          <w:rFonts w:ascii="Times New Roman" w:hAnsi="Times New Roman"/>
          <w:color w:val="000000" w:themeColor="text1"/>
        </w:rPr>
        <w:t>соответствии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«Получающая Сторона» означает для целей каждого случая обмена Конфиденциальной Информацией в </w:t>
      </w:r>
      <w:proofErr w:type="gramStart"/>
      <w:r w:rsidRPr="008936CE">
        <w:rPr>
          <w:rFonts w:ascii="Times New Roman" w:hAnsi="Times New Roman"/>
          <w:color w:val="000000" w:themeColor="text1"/>
        </w:rPr>
        <w:t>соответствии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Информацией, между ПАО «НК «Роснефть», его Аффилированными лицами и пользователями Системы; 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«Конфиденциальная информация» означает любую информацию, предоставляемую в рамках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в любой форме (в том числе, </w:t>
      </w:r>
      <w:proofErr w:type="gramStart"/>
      <w:r w:rsidRPr="008936CE">
        <w:rPr>
          <w:rFonts w:ascii="Times New Roman" w:hAnsi="Times New Roman"/>
          <w:color w:val="000000" w:themeColor="text1"/>
        </w:rPr>
        <w:t>но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</w:t>
      </w:r>
      <w:proofErr w:type="gramStart"/>
      <w:r w:rsidRPr="008936CE">
        <w:rPr>
          <w:rFonts w:ascii="Times New Roman" w:hAnsi="Times New Roman"/>
          <w:color w:val="000000" w:themeColor="text1"/>
        </w:rPr>
        <w:t>предназначенную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 для широкого распространения и/или использования неограниченным кругом лиц;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/Соглашения.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="00B91525">
        <w:rPr>
          <w:rFonts w:ascii="Times New Roman" w:hAnsi="Times New Roman"/>
          <w:color w:val="000000" w:themeColor="text1"/>
        </w:rPr>
        <w:t> </w:t>
      </w:r>
      <w:r w:rsidR="00B91525">
        <w:rPr>
          <w:rFonts w:ascii="Times New Roman" w:hAnsi="Times New Roman"/>
          <w:color w:val="000000" w:themeColor="text1"/>
        </w:rPr>
        <w:t> 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="00B91525">
        <w:rPr>
          <w:rFonts w:ascii="Times New Roman" w:hAnsi="Times New Roman"/>
          <w:color w:val="000000" w:themeColor="text1"/>
        </w:rPr>
        <w:t> </w:t>
      </w:r>
      <w:r w:rsidR="00B91525">
        <w:rPr>
          <w:rFonts w:ascii="Times New Roman" w:hAnsi="Times New Roman"/>
          <w:color w:val="000000" w:themeColor="text1"/>
        </w:rPr>
        <w:t> </w:t>
      </w:r>
      <w:r w:rsidR="00B91525">
        <w:rPr>
          <w:rFonts w:ascii="Times New Roman" w:hAnsi="Times New Roman"/>
          <w:color w:val="000000" w:themeColor="text1"/>
        </w:rPr>
        <w:t> </w:t>
      </w:r>
      <w:r w:rsidR="00B91525">
        <w:rPr>
          <w:rFonts w:ascii="Times New Roman" w:hAnsi="Times New Roman"/>
          <w:color w:val="000000" w:themeColor="text1"/>
        </w:rPr>
        <w:t> </w:t>
      </w:r>
      <w:r w:rsidR="00B91525">
        <w:rPr>
          <w:rFonts w:ascii="Times New Roman" w:hAnsi="Times New Roman"/>
          <w:color w:val="000000" w:themeColor="text1"/>
        </w:rPr>
        <w:t> 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>;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</w:t>
      </w:r>
      <w:proofErr w:type="gramStart"/>
      <w:r w:rsidRPr="000153E7">
        <w:rPr>
          <w:rFonts w:ascii="Times New Roman" w:hAnsi="Times New Roman"/>
          <w:color w:val="000000" w:themeColor="text1"/>
        </w:rPr>
        <w:t>к</w:t>
      </w:r>
      <w:proofErr w:type="gramEnd"/>
      <w:r w:rsidRPr="000153E7">
        <w:rPr>
          <w:rFonts w:ascii="Times New Roman" w:hAnsi="Times New Roman"/>
          <w:color w:val="000000" w:themeColor="text1"/>
        </w:rPr>
        <w:t xml:space="preserve"> конфиденциальной.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Договора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Договору</w:t>
      </w:r>
      <w:r>
        <w:rPr>
          <w:rFonts w:ascii="Times New Roman" w:hAnsi="Times New Roman"/>
          <w:color w:val="000000" w:themeColor="text1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8936CE">
        <w:rPr>
          <w:rFonts w:ascii="Times New Roman" w:hAnsi="Times New Roman"/>
          <w:color w:val="000000" w:themeColor="text1"/>
        </w:rPr>
        <w:t xml:space="preserve"> </w:t>
      </w:r>
      <w:proofErr w:type="gramEnd"/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Pr="003C286C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 w:rsidRPr="003C286C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3C286C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C286C">
        <w:rPr>
          <w:rFonts w:ascii="Times New Roman" w:hAnsi="Times New Roman"/>
          <w:i/>
          <w:color w:val="000000" w:themeColor="text1"/>
        </w:rPr>
      </w:r>
      <w:r w:rsidRPr="003C286C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3C286C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lastRenderedPageBreak/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3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 xml:space="preserve"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3C286C"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 w:rsidRPr="003C286C">
        <w:rPr>
          <w:rFonts w:ascii="Times New Roman" w:hAnsi="Times New Roman"/>
          <w:noProof/>
          <w:color w:val="000000" w:themeColor="text1"/>
          <w:szCs w:val="24"/>
        </w:rPr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noProof/>
          <w:color w:val="000000" w:themeColor="text1"/>
          <w:szCs w:val="24"/>
        </w:rPr>
        <w:t> 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</w:t>
      </w:r>
      <w:proofErr w:type="gramEnd"/>
      <w:r w:rsidRPr="00B81A7C">
        <w:rPr>
          <w:rFonts w:ascii="Times New Roman CYR" w:hAnsi="Times New Roman CYR"/>
        </w:rPr>
        <w:t xml:space="preserve"> с Раскрывающей Стороной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noProof/>
          <w:color w:val="000000" w:themeColor="text1"/>
          <w:szCs w:val="24"/>
        </w:rPr>
      </w:r>
      <w:r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  <w:szCs w:val="24"/>
        </w:rPr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  <w:szCs w:val="24"/>
        </w:rPr>
        <w:t> </w:t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4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>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  <w:proofErr w:type="gramEnd"/>
    </w:p>
    <w:p w:rsidR="008936CE" w:rsidRDefault="008936CE" w:rsidP="008936CE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5</w:t>
      </w:r>
      <w:r>
        <w:rPr>
          <w:rFonts w:ascii="Times New Roman" w:hAnsi="Times New Roman"/>
          <w:noProof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которые не должны его</w:t>
      </w:r>
      <w:r>
        <w:rPr>
          <w:rFonts w:ascii="Times New Roman" w:hAnsi="Times New Roman"/>
          <w:color w:val="000000" w:themeColor="text1"/>
        </w:rPr>
        <w:fldChar w:fldCharType="end"/>
      </w:r>
      <w:bookmarkEnd w:id="3"/>
      <w:r w:rsidRPr="00C33611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C33611">
        <w:rPr>
          <w:rFonts w:ascii="Times New Roman" w:hAnsi="Times New Roman"/>
          <w:color w:val="000000" w:themeColor="text1"/>
        </w:rPr>
        <w:instrText xml:space="preserve"> FORMTEXT </w:instrText>
      </w:r>
      <w:r w:rsidRPr="00C33611">
        <w:rPr>
          <w:rFonts w:ascii="Times New Roman" w:hAnsi="Times New Roman"/>
          <w:color w:val="000000" w:themeColor="text1"/>
        </w:rPr>
      </w:r>
      <w:r w:rsidRPr="00C33611">
        <w:rPr>
          <w:rFonts w:ascii="Times New Roman" w:hAnsi="Times New Roman"/>
          <w:color w:val="000000" w:themeColor="text1"/>
        </w:rPr>
        <w:fldChar w:fldCharType="separate"/>
      </w:r>
      <w:r w:rsidRPr="00C33611">
        <w:rPr>
          <w:rFonts w:ascii="Times New Roman" w:hAnsi="Times New Roman"/>
          <w:noProof/>
          <w:color w:val="000000" w:themeColor="text1"/>
        </w:rPr>
        <w:t xml:space="preserve">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C33611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</w:t>
      </w:r>
      <w:r w:rsidR="0035785B">
        <w:rPr>
          <w:rFonts w:ascii="Times New Roman" w:hAnsi="Times New Roman"/>
          <w:noProof/>
          <w:color w:val="000000" w:themeColor="text1"/>
        </w:rPr>
        <w:t xml:space="preserve">10 </w:t>
      </w:r>
      <w:r>
        <w:rPr>
          <w:rFonts w:ascii="Times New Roman" w:hAnsi="Times New Roman"/>
          <w:noProof/>
          <w:color w:val="000000" w:themeColor="text1"/>
        </w:rPr>
        <w:t xml:space="preserve"> настоящего </w:t>
      </w:r>
      <w:r w:rsidR="0035785B">
        <w:rPr>
          <w:rFonts w:ascii="Times New Roman" w:hAnsi="Times New Roman"/>
          <w:noProof/>
          <w:color w:val="000000" w:themeColor="text1"/>
        </w:rPr>
        <w:t>раздела.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6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>
        <w:rPr>
          <w:rFonts w:ascii="Times New Roman" w:hAnsi="Times New Roman"/>
          <w:color w:val="000000" w:themeColor="text1"/>
        </w:rPr>
        <w:fldChar w:fldCharType="end"/>
      </w:r>
      <w:r w:rsidRPr="006517F6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517F6">
        <w:rPr>
          <w:rFonts w:ascii="Times New Roman" w:hAnsi="Times New Roman"/>
          <w:color w:val="000000" w:themeColor="text1"/>
        </w:rPr>
        <w:instrText xml:space="preserve"> FORMTEXT </w:instrText>
      </w:r>
      <w:r w:rsidRPr="006517F6">
        <w:rPr>
          <w:rFonts w:ascii="Times New Roman" w:hAnsi="Times New Roman"/>
          <w:color w:val="000000" w:themeColor="text1"/>
        </w:rPr>
      </w:r>
      <w:r w:rsidRPr="006517F6">
        <w:rPr>
          <w:rFonts w:ascii="Times New Roman" w:hAnsi="Times New Roman"/>
          <w:color w:val="000000" w:themeColor="text1"/>
        </w:rPr>
        <w:fldChar w:fldCharType="separate"/>
      </w:r>
      <w:r w:rsidRPr="006517F6">
        <w:rPr>
          <w:rFonts w:ascii="Times New Roman" w:hAnsi="Times New Roman"/>
          <w:noProof/>
          <w:color w:val="000000" w:themeColor="text1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517F6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Федеральным законом от 29.07.2004 № 98-ФЗ «О коммерческой тайне» либо иным аналогичным законом.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7</w:t>
      </w:r>
      <w:r w:rsidRPr="008936CE">
        <w:rPr>
          <w:rFonts w:ascii="Times New Roman" w:hAnsi="Times New Roman"/>
          <w:color w:val="000000" w:themeColor="text1"/>
        </w:rPr>
        <w:t>.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8936CE">
        <w:rPr>
          <w:rFonts w:ascii="Times New Roman" w:hAnsi="Times New Roman"/>
          <w:color w:val="000000" w:themeColor="text1"/>
        </w:rPr>
        <w:t xml:space="preserve"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не подлежит защите или подлежит защите в меньшей степени, чем предусмотрено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это не отменяет и не уменьшает обязательств Получающей Стороны по настоящему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Договору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. </w:t>
      </w:r>
      <w:proofErr w:type="gramEnd"/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8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и при условии обеспечения </w:t>
      </w:r>
      <w:r>
        <w:rPr>
          <w:rFonts w:ascii="Times New Roman" w:hAnsi="Times New Roman"/>
          <w:color w:val="000000" w:themeColor="text1"/>
        </w:rPr>
        <w:lastRenderedPageBreak/>
        <w:t>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9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 w:themeColor="text1"/>
        </w:rPr>
        <w:instrText xml:space="preserve"> FORMTEXT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 w:rsidR="004C340C">
        <w:rPr>
          <w:noProof/>
          <w:color w:val="000000" w:themeColor="text1"/>
        </w:rPr>
        <w:t>3</w: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0C4C90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C4C90">
        <w:rPr>
          <w:rFonts w:ascii="Times New Roman" w:hAnsi="Times New Roman"/>
          <w:color w:val="000000" w:themeColor="text1"/>
        </w:rPr>
        <w:instrText xml:space="preserve"> FORMTEXT </w:instrText>
      </w:r>
      <w:r w:rsidRPr="000C4C90">
        <w:rPr>
          <w:rFonts w:ascii="Times New Roman" w:hAnsi="Times New Roman"/>
          <w:color w:val="000000" w:themeColor="text1"/>
        </w:rPr>
      </w:r>
      <w:r w:rsidRPr="000C4C90">
        <w:rPr>
          <w:rFonts w:ascii="Times New Roman" w:hAnsi="Times New Roman"/>
          <w:color w:val="000000" w:themeColor="text1"/>
        </w:rPr>
        <w:fldChar w:fldCharType="separate"/>
      </w:r>
      <w:r w:rsidRPr="000C4C90">
        <w:rPr>
          <w:rFonts w:ascii="Times New Roman" w:hAnsi="Times New Roman"/>
          <w:color w:val="000000" w:themeColor="text1"/>
        </w:rPr>
        <w:t>Договора</w:t>
      </w:r>
      <w:r w:rsidRPr="000C4C90">
        <w:rPr>
          <w:rFonts w:ascii="Times New Roman" w:hAnsi="Times New Roman"/>
          <w:color w:val="000000" w:themeColor="text1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</w:t>
      </w:r>
      <w:r w:rsidR="0035785B">
        <w:rPr>
          <w:rFonts w:ascii="Times New Roman" w:hAnsi="Times New Roman"/>
          <w:noProof/>
          <w:color w:val="000000" w:themeColor="text1"/>
        </w:rPr>
        <w:t>0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32535F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32535F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2535F">
        <w:rPr>
          <w:rFonts w:ascii="Times New Roman" w:hAnsi="Times New Roman"/>
          <w:i/>
          <w:color w:val="000000" w:themeColor="text1"/>
        </w:rPr>
      </w:r>
      <w:r w:rsidRPr="0032535F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32535F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474A98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 w:rsidR="0035785B">
        <w:rPr>
          <w:rFonts w:ascii="Times New Roman" w:hAnsi="Times New Roman"/>
          <w:i/>
          <w:noProof/>
          <w:color w:val="000000" w:themeColor="text1"/>
        </w:rPr>
        <w:t> 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</w:rPr>
        <w:fldChar w:fldCharType="end"/>
      </w: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ЛИБО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реальный ущерб,</w:t>
      </w:r>
      <w:r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причинённый таким Разглашением, при этом 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</w:t>
      </w:r>
      <w:r w:rsidRPr="00B77233">
        <w:rPr>
          <w:rFonts w:ascii="Times New Roman" w:hAnsi="Times New Roman"/>
          <w:color w:val="000000" w:themeColor="text1"/>
        </w:rPr>
        <w:fldChar w:fldCharType="end"/>
      </w:r>
    </w:p>
    <w:p w:rsidR="002B16E5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</w:p>
    <w:p w:rsidR="002B16E5" w:rsidRDefault="002B16E5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</w:p>
    <w:p w:rsidR="002B16E5" w:rsidRDefault="002B16E5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="0035785B">
        <w:rPr>
          <w:rFonts w:ascii="Times New Roman" w:hAnsi="Times New Roman"/>
          <w:i/>
          <w:color w:val="000000" w:themeColor="text1"/>
        </w:rPr>
        <w:t> 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474A98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</w:p>
    <w:p w:rsidR="00474A98" w:rsidRDefault="00474A98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lastRenderedPageBreak/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="0035785B">
        <w:rPr>
          <w:rFonts w:ascii="Times New Roman" w:hAnsi="Times New Roman"/>
          <w:i/>
          <w:color w:val="000000" w:themeColor="text1"/>
          <w:szCs w:val="24"/>
        </w:rPr>
        <w:t> 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 w:rsidR="0035785B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 w:rsidR="0035785B">
        <w:rPr>
          <w:rFonts w:ascii="Times New Roman" w:hAnsi="Times New Roman"/>
          <w:color w:val="000000" w:themeColor="text1"/>
          <w:szCs w:val="24"/>
        </w:rPr>
        <w:t> 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</w:t>
      </w:r>
      <w:r w:rsidR="0035785B">
        <w:rPr>
          <w:rFonts w:ascii="Times New Roman" w:hAnsi="Times New Roman"/>
          <w:noProof/>
          <w:color w:val="000000" w:themeColor="text1"/>
        </w:rPr>
        <w:t>1</w:t>
      </w:r>
      <w:r>
        <w:rPr>
          <w:rFonts w:ascii="Times New Roman" w:hAnsi="Times New Roman"/>
          <w:noProof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3A4A43"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3A4A43">
        <w:rPr>
          <w:rFonts w:ascii="Times New Roman" w:hAnsi="Times New Roman"/>
          <w:color w:val="000000" w:themeColor="text1"/>
        </w:rPr>
        <w:instrText xml:space="preserve"> FORMTEXT </w:instrText>
      </w:r>
      <w:r w:rsidRPr="003A4A43">
        <w:rPr>
          <w:rFonts w:ascii="Times New Roman" w:hAnsi="Times New Roman"/>
          <w:color w:val="000000" w:themeColor="text1"/>
        </w:rPr>
      </w:r>
      <w:r w:rsidRPr="003A4A43">
        <w:rPr>
          <w:rFonts w:ascii="Times New Roman" w:hAnsi="Times New Roman"/>
          <w:color w:val="000000" w:themeColor="text1"/>
        </w:rPr>
        <w:fldChar w:fldCharType="separate"/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Pr="003A4A43">
        <w:rPr>
          <w:rFonts w:ascii="Times New Roman" w:hAnsi="Times New Roman"/>
          <w:color w:val="000000" w:themeColor="text1"/>
        </w:rPr>
        <w:fldChar w:fldCharType="end"/>
      </w:r>
      <w:bookmarkEnd w:id="4"/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 w:rsidR="004C340C">
        <w:rPr>
          <w:rFonts w:ascii="Times New Roman" w:hAnsi="Times New Roman"/>
          <w:i/>
          <w:color w:val="000000" w:themeColor="text1"/>
        </w:rPr>
        <w:t> </w:t>
      </w:r>
      <w:r w:rsidR="004C340C">
        <w:rPr>
          <w:rFonts w:ascii="Times New Roman" w:hAnsi="Times New Roman"/>
          <w:i/>
          <w:color w:val="000000" w:themeColor="text1"/>
        </w:rPr>
        <w:t> </w:t>
      </w:r>
      <w:r w:rsidR="004C340C">
        <w:rPr>
          <w:rFonts w:ascii="Times New Roman" w:hAnsi="Times New Roman"/>
          <w:i/>
          <w:color w:val="000000" w:themeColor="text1"/>
        </w:rPr>
        <w:t> </w:t>
      </w:r>
      <w:r w:rsidR="004C340C">
        <w:rPr>
          <w:rFonts w:ascii="Times New Roman" w:hAnsi="Times New Roman"/>
          <w:i/>
          <w:color w:val="000000" w:themeColor="text1"/>
        </w:rPr>
        <w:t> </w:t>
      </w:r>
      <w:r w:rsidR="004C340C">
        <w:rPr>
          <w:rFonts w:ascii="Times New Roman" w:hAnsi="Times New Roman"/>
          <w:i/>
          <w:color w:val="000000" w:themeColor="text1"/>
        </w:rPr>
        <w:t> </w:t>
      </w:r>
      <w:r>
        <w:rPr>
          <w:rFonts w:ascii="Times New Roman" w:hAnsi="Times New Roman"/>
          <w:i/>
          <w:color w:val="000000" w:themeColor="text1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3 года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>с даты предоставления</w:t>
      </w:r>
      <w:proofErr w:type="gramEnd"/>
      <w:r>
        <w:rPr>
          <w:rFonts w:ascii="Times New Roman" w:hAnsi="Times New Roman"/>
          <w:color w:val="000000" w:themeColor="text1"/>
        </w:rPr>
        <w:t xml:space="preserve"> соответствующей Конфиденциальной Информации Получающей Стороне (её Представителям);</w:t>
      </w:r>
    </w:p>
    <w:p w:rsidR="008936CE" w:rsidRPr="00B91525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  <w:instrText>FORMTEXT</w:instrText>
      </w:r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 w:rsidR="004C340C">
        <w:rPr>
          <w:rFonts w:ascii="Times New Roman" w:hAnsi="Times New Roman"/>
          <w:color w:val="000000" w:themeColor="text1"/>
        </w:rPr>
        <w:t> </w:t>
      </w:r>
      <w:r>
        <w:rPr>
          <w:rFonts w:ascii="Times New Roman" w:hAnsi="Times New Roman"/>
          <w:color w:val="000000" w:themeColor="text1"/>
        </w:rPr>
        <w:fldChar w:fldCharType="end"/>
      </w:r>
      <w:bookmarkEnd w:id="6"/>
    </w:p>
    <w:p w:rsidR="008936CE" w:rsidRPr="00B91525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  <w:lang w:val="ru-RU"/>
        </w:rPr>
      </w:pPr>
    </w:p>
    <w:p w:rsidR="006D3A7D" w:rsidRDefault="00345DC2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7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7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</w:t>
      </w:r>
      <w:proofErr w:type="gramEnd"/>
      <w:r w:rsidRPr="008A2730">
        <w:rPr>
          <w:rFonts w:ascii="Times New Roman" w:hAnsi="Times New Roman"/>
          <w:i/>
          <w:sz w:val="24"/>
          <w:szCs w:val="24"/>
          <w:lang w:val="ru-RU"/>
        </w:rPr>
        <w:t xml:space="preserve"> для подписания договора (дополнительного соглашения к нему) 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8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8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9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9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  <w:proofErr w:type="gramEnd"/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</w:t>
      </w:r>
      <w:proofErr w:type="gramStart"/>
      <w:r w:rsidRPr="005A1FBA">
        <w:rPr>
          <w:rFonts w:ascii="Times New Roman" w:hAnsi="Times New Roman" w:cs="Times New Roman"/>
          <w:sz w:val="24"/>
          <w:szCs w:val="24"/>
          <w:lang w:val="ru-RU"/>
        </w:rPr>
        <w:t>квалифицированная</w:t>
      </w:r>
      <w:proofErr w:type="gramEnd"/>
      <w:r w:rsidRPr="005A1FBA">
        <w:rPr>
          <w:rFonts w:ascii="Times New Roman" w:hAnsi="Times New Roman" w:cs="Times New Roman"/>
          <w:sz w:val="24"/>
          <w:szCs w:val="24"/>
          <w:lang w:val="ru-RU"/>
        </w:rPr>
        <w:t xml:space="preserve">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0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  <w:proofErr w:type="gramEnd"/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</w:t>
      </w:r>
      <w:proofErr w:type="gramStart"/>
      <w:r w:rsidRPr="00B10336">
        <w:rPr>
          <w:rFonts w:ascii="Times New Roman" w:hAnsi="Times New Roman" w:cs="Times New Roman"/>
          <w:sz w:val="24"/>
          <w:szCs w:val="24"/>
          <w:lang w:val="ru-RU"/>
        </w:rPr>
        <w:t>виде</w:t>
      </w:r>
      <w:proofErr w:type="gramEnd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Стороны самостоятельно обеспечивают и несут ответственность за надлежащее использование уполномоченными лицами ЭП в </w:t>
      </w:r>
      <w:proofErr w:type="gramStart"/>
      <w:r w:rsidRPr="00EC3CE5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proofErr w:type="gramEnd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 w:rsidRPr="00EC3CE5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gramEnd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ЭТП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Квалифицированная</w:t>
      </w:r>
      <w:proofErr w:type="gramEnd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Сертификат ЭП </w:t>
      </w:r>
      <w:proofErr w:type="gramStart"/>
      <w:r w:rsidRPr="00B10336">
        <w:rPr>
          <w:rFonts w:ascii="Times New Roman" w:hAnsi="Times New Roman" w:cs="Times New Roman"/>
          <w:sz w:val="24"/>
          <w:szCs w:val="24"/>
          <w:lang w:val="ru-RU"/>
        </w:rPr>
        <w:t>создан и выдан</w:t>
      </w:r>
      <w:proofErr w:type="gramEnd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8936CE" w:rsidRDefault="008936CE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  <w:proofErr w:type="gramEnd"/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</w:t>
      </w:r>
      <w:proofErr w:type="gramEnd"/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подписанными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квалифицированной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виде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виде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  <w:proofErr w:type="gramEnd"/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  <w:proofErr w:type="gramEnd"/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Выставление и получение документов в электронном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виде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с помощью квалифицированной ЭП электронный документ признается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равнозначным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подтверждена действительность сертификата квалифицированной ЭП с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начала осуществления обмена электронными документами Стороны должны заключить договор об ЭДО с Оператором электронного документооборота,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оформить и представить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соответствии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 и выдан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Квалифицированная электронная подпись используется с учетом ограничений, содержащихся в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Сертификате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носителях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697B7E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скан-копии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носителе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оригинальными подписями уполномоченных лиц Сторон. В случае неполучения документов на бумажном носителе,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скан-копии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97B7E">
        <w:rPr>
          <w:rFonts w:ascii="Times New Roman" w:eastAsia="Calibri" w:hAnsi="Times New Roman" w:cs="Times New Roman"/>
          <w:i/>
          <w:sz w:val="24"/>
          <w:szCs w:val="24"/>
        </w:rPr>
        <w:t>StarkinaEV</w:t>
      </w:r>
      <w:r w:rsidR="00697B7E" w:rsidRPr="00697B7E">
        <w:rPr>
          <w:rFonts w:ascii="Times New Roman" w:eastAsia="Calibri" w:hAnsi="Times New Roman" w:cs="Times New Roman"/>
          <w:i/>
          <w:sz w:val="24"/>
          <w:szCs w:val="24"/>
          <w:lang w:val="ru-RU"/>
        </w:rPr>
        <w:t>@</w:t>
      </w:r>
      <w:r w:rsidR="00697B7E">
        <w:rPr>
          <w:rFonts w:ascii="Times New Roman" w:eastAsia="Calibri" w:hAnsi="Times New Roman" w:cs="Times New Roman"/>
          <w:i/>
          <w:sz w:val="24"/>
          <w:szCs w:val="24"/>
        </w:rPr>
        <w:t>rnt</w:t>
      </w:r>
      <w:r w:rsidR="00697B7E" w:rsidRPr="00697B7E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  <w:r w:rsidR="00697B7E">
        <w:rPr>
          <w:rFonts w:ascii="Times New Roman" w:eastAsia="Calibri" w:hAnsi="Times New Roman" w:cs="Times New Roman"/>
          <w:i/>
          <w:sz w:val="24"/>
          <w:szCs w:val="24"/>
        </w:rPr>
        <w:t>rosneft</w:t>
      </w:r>
      <w:r w:rsidR="00697B7E" w:rsidRPr="00697B7E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  <w:r w:rsidR="00697B7E">
        <w:rPr>
          <w:rFonts w:ascii="Times New Roman" w:eastAsia="Calibri" w:hAnsi="Times New Roman" w:cs="Times New Roman"/>
          <w:i/>
          <w:sz w:val="24"/>
          <w:szCs w:val="24"/>
        </w:rPr>
        <w:t>ru</w:t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порядке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Подписание Акта приема-передачи ЛНД в таких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случаях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определения способа передачи копий ЛНД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из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копий ЛНД на бумажном носителе – каждая копия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передаваемого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несёт ответственность за оперативное оформление и передачу на исполнение в установленном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порядке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Направление ЛНД, а также дополнений и изменений к ЛНД, содержащих сведения конфиденциального характера, осуществляется только на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основании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 копию ЛНД, электронную копию ЛНД и на носитель с ЛНД, </w:t>
      </w: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содержащего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proofErr w:type="gramStart"/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средствах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исполнении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исполнении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</w:t>
      </w:r>
      <w:r w:rsidR="00697B7E" w:rsidRPr="00697B7E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5000</w:t>
      </w:r>
      <w:r w:rsidR="00697B7E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,00 (пять тысяч)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97B7E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10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  <w:proofErr w:type="gramEnd"/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объеме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proofErr w:type="gramStart"/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  <w:proofErr w:type="gramEnd"/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с даты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4C340C">
        <w:rPr>
          <w:rFonts w:ascii="Times New Roman" w:hAnsi="Times New Roman" w:cs="Times New Roman"/>
          <w:sz w:val="24"/>
          <w:szCs w:val="24"/>
        </w:rPr>
        <w:t> </w:t>
      </w:r>
      <w:r w:rsidR="004C340C">
        <w:rPr>
          <w:rFonts w:ascii="Times New Roman" w:hAnsi="Times New Roman" w:cs="Times New Roman"/>
          <w:sz w:val="24"/>
          <w:szCs w:val="24"/>
        </w:rPr>
        <w:t> </w:t>
      </w:r>
      <w:r w:rsidR="004C340C">
        <w:rPr>
          <w:rFonts w:ascii="Times New Roman" w:hAnsi="Times New Roman" w:cs="Times New Roman"/>
          <w:sz w:val="24"/>
          <w:szCs w:val="24"/>
        </w:rPr>
        <w:t> </w:t>
      </w:r>
      <w:r w:rsidR="004C340C">
        <w:rPr>
          <w:rFonts w:ascii="Times New Roman" w:hAnsi="Times New Roman" w:cs="Times New Roman"/>
          <w:sz w:val="24"/>
          <w:szCs w:val="24"/>
        </w:rPr>
        <w:t> </w:t>
      </w:r>
      <w:r w:rsidR="004C340C">
        <w:rPr>
          <w:rFonts w:ascii="Times New Roman" w:hAnsi="Times New Roman" w:cs="Times New Roman"/>
          <w:sz w:val="24"/>
          <w:szCs w:val="24"/>
        </w:rPr>
        <w:t> 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по формам, установленным Приказом 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Минфина России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от 0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4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10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.20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23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№ 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157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н «О</w:t>
      </w:r>
      <w:r w:rsidR="004C340C">
        <w:rPr>
          <w:rFonts w:ascii="Times New Roman" w:hAnsi="Times New Roman" w:cs="Times New Roman"/>
          <w:noProof/>
          <w:sz w:val="24"/>
          <w:szCs w:val="24"/>
          <w:lang w:val="ru-RU"/>
        </w:rPr>
        <w:t>б утверждении Федерального стандарта бухгалтерского учета ФСБУ 4/2023 "Бухгалтерская (финансовая) отчетность</w:t>
      </w:r>
      <w:r w:rsidR="00474A98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": 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474A9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</w:t>
      </w:r>
      <w:proofErr w:type="gramStart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 налогового органа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936CE" w:rsidRDefault="008936C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, работники и (</w:t>
      </w:r>
      <w:proofErr w:type="gramStart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или) </w:t>
      </w:r>
      <w:proofErr w:type="gramEnd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</w:t>
      </w:r>
      <w:proofErr w:type="gramStart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выплачивает и не компенсирует</w:t>
      </w:r>
      <w:proofErr w:type="gramEnd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</w:t>
      </w:r>
      <w:proofErr w:type="gramStart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образом</w:t>
      </w:r>
      <w:proofErr w:type="gramEnd"/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F1291A">
        <w:rPr>
          <w:rFonts w:eastAsia="Calibri"/>
          <w:szCs w:val="24"/>
        </w:rPr>
      </w:r>
      <w:r w:rsidR="00F1291A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F1291A">
        <w:rPr>
          <w:rFonts w:ascii="Times New Roman" w:eastAsia="Calibri" w:hAnsi="Times New Roman" w:cs="Times New Roman"/>
          <w:sz w:val="24"/>
          <w:szCs w:val="24"/>
        </w:rPr>
      </w:r>
      <w:r w:rsidR="00F1291A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освобождаются от налогообложения (далее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налога в иностранном </w:t>
      </w: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государстве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8936CE" w:rsidRDefault="008936CE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2B16E5">
        <w:rPr>
          <w:rFonts w:ascii="Times New Roman" w:hAnsi="Times New Roman"/>
          <w:i/>
          <w:noProof/>
          <w:sz w:val="24"/>
          <w:szCs w:val="24"/>
          <w:lang w:val="ru-RU"/>
        </w:rPr>
        <w:t>5000,00</w:t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 xml:space="preserve">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gramStart"/>
      <w:r w:rsidRPr="000C6B3C">
        <w:rPr>
          <w:rFonts w:ascii="Times New Roman" w:hAnsi="Times New Roman"/>
          <w:sz w:val="24"/>
          <w:szCs w:val="24"/>
          <w:lang w:val="ru-RU"/>
        </w:rPr>
        <w:t>случае</w:t>
      </w:r>
      <w:proofErr w:type="gramEnd"/>
      <w:r w:rsidRPr="000C6B3C">
        <w:rPr>
          <w:rFonts w:ascii="Times New Roman" w:hAnsi="Times New Roman"/>
          <w:sz w:val="24"/>
          <w:szCs w:val="24"/>
          <w:lang w:val="ru-RU"/>
        </w:rPr>
        <w:t xml:space="preserve">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8936CE" w:rsidRPr="008936CE" w:rsidRDefault="008936CE" w:rsidP="008936CE">
      <w:pPr>
        <w:rPr>
          <w:rFonts w:ascii="Times New Roman" w:hAnsi="Times New Roman"/>
          <w:sz w:val="24"/>
          <w:szCs w:val="24"/>
          <w:lang w:val="ru-RU"/>
        </w:rPr>
      </w:pPr>
      <w:r w:rsidRPr="008936CE"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ind w:left="40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6CE">
        <w:rPr>
          <w:rFonts w:ascii="Times New Roman" w:hAnsi="Times New Roman"/>
          <w:b/>
          <w:sz w:val="24"/>
          <w:szCs w:val="24"/>
          <w:lang w:val="ru-RU"/>
        </w:rPr>
        <w:t>По углеродному менеджменту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</w:t>
      </w:r>
      <w:proofErr w:type="gramStart"/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поддерживают и намерены</w:t>
      </w:r>
      <w:proofErr w:type="gramEnd"/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руководствоваться в ходе исполнения настоящего 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выбросов парниковых газов.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составлено в 2-х оригинальных </w:t>
      </w:r>
      <w:proofErr w:type="gramStart"/>
      <w:r w:rsidRPr="00493D4E">
        <w:rPr>
          <w:rFonts w:ascii="Times New Roman" w:hAnsi="Times New Roman"/>
          <w:sz w:val="24"/>
          <w:szCs w:val="24"/>
          <w:lang w:val="ru-RU"/>
        </w:rPr>
        <w:t>экземплярах</w:t>
      </w:r>
      <w:proofErr w:type="gramEnd"/>
      <w:r w:rsidRPr="00493D4E">
        <w:rPr>
          <w:rFonts w:ascii="Times New Roman" w:hAnsi="Times New Roman"/>
          <w:sz w:val="24"/>
          <w:szCs w:val="24"/>
          <w:lang w:val="ru-RU"/>
        </w:rPr>
        <w:t>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proofErr w:type="gramStart"/>
      <w:r w:rsidRPr="00493D4E">
        <w:rPr>
          <w:rFonts w:ascii="Times New Roman" w:hAnsi="Times New Roman"/>
          <w:sz w:val="24"/>
          <w:szCs w:val="24"/>
          <w:lang w:val="ru-RU"/>
        </w:rPr>
        <w:t>вступает в силу со дня его подписания Сторонами и действует</w:t>
      </w:r>
      <w:proofErr w:type="gramEnd"/>
      <w:r w:rsidRPr="00493D4E">
        <w:rPr>
          <w:rFonts w:ascii="Times New Roman" w:hAnsi="Times New Roman"/>
          <w:sz w:val="24"/>
          <w:szCs w:val="24"/>
          <w:lang w:val="ru-RU"/>
        </w:rPr>
        <w:t xml:space="preserve">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359E" w:rsidRPr="00735B36" w:rsidTr="00B91525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B91525">
              <w:tc>
                <w:tcPr>
                  <w:tcW w:w="5040" w:type="dxa"/>
                </w:tcPr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2B16E5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</w:p>
                <w:p w:rsidR="00E2359E" w:rsidRPr="0005277E" w:rsidRDefault="00474A98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АО "РН-Транс"</w:t>
                  </w:r>
                  <w:r w:rsidR="00E2359E"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2B16E5" w:rsidRDefault="00E2359E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</w:p>
                <w:p w:rsidR="002B16E5" w:rsidRPr="002B16E5" w:rsidRDefault="002B16E5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</w:p>
                <w:p w:rsidR="00E2359E" w:rsidRPr="0005277E" w:rsidRDefault="00E2359E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474A98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474A9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2B16E5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</w:p>
                <w:p w:rsidR="002B16E5" w:rsidRPr="002B16E5" w:rsidRDefault="002B16E5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</w:p>
                <w:p w:rsidR="00E2359E" w:rsidRPr="0005277E" w:rsidRDefault="00474A98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 xml:space="preserve"> Шипов</w:t>
                  </w:r>
                  <w:r w:rsidR="00E2359E"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B91525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B91525">
              <w:tc>
                <w:tcPr>
                  <w:tcW w:w="5040" w:type="dxa"/>
                </w:tcPr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2B16E5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2B16E5" w:rsidRDefault="00E2359E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</w:p>
                <w:p w:rsidR="002B16E5" w:rsidRPr="002B16E5" w:rsidRDefault="002B16E5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</w:p>
                <w:p w:rsidR="00E2359E" w:rsidRPr="0005277E" w:rsidRDefault="00E2359E" w:rsidP="002B16E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B91525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B91525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474A98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</w:p>
    <w:p w:rsidR="00474A98" w:rsidRDefault="00474A98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474A98" w:rsidRDefault="00474A98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2D38AB" w:rsidRDefault="00474A98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2_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/Д</w:t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D38AB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 202 г.</w:t>
      </w:r>
      <w:r w:rsidR="002D38AB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91525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91525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9152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91525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91525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91525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91525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91525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9152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9152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B91525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  202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г.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proofErr w:type="gramStart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соответствии</w:t>
      </w:r>
      <w:proofErr w:type="gramEnd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 xml:space="preserve">указывается обозначение лица, получающего персональные данные: </w:t>
      </w:r>
      <w:proofErr w:type="gramStart"/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г., а также направление в адрес таких</w:t>
      </w:r>
      <w:proofErr w:type="gramEnd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 xml:space="preserve">указывается обозначение лица, получающего персональные данные: </w:t>
      </w:r>
      <w:proofErr w:type="gramStart"/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</w:t>
      </w:r>
      <w:proofErr w:type="gramEnd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.   _______________ (_________________________________)</w:t>
      </w:r>
      <w:proofErr w:type="gramEnd"/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B91525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B9152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B915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B91525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B9152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_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 202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г.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</w:t>
      </w:r>
      <w:proofErr w:type="gramEnd"/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proofErr w:type="gramStart"/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</w:t>
      </w:r>
      <w:proofErr w:type="gramEnd"/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Данная информация передана на бумажных </w:t>
      </w:r>
      <w:proofErr w:type="gramStart"/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носителях</w:t>
      </w:r>
      <w:proofErr w:type="gramEnd"/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proofErr w:type="gramStart"/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 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 202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474A98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г.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2B16E5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Равнозначный документ на бумажном </w:t>
            </w:r>
            <w:proofErr w:type="gramStart"/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носителе</w:t>
            </w:r>
            <w:proofErr w:type="gramEnd"/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B5B3D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B5B3D" w:rsidRPr="006B5B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B16E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2B16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 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 202 г.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</w:t>
      </w: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дальнейшем</w:t>
      </w:r>
      <w:proofErr w:type="gram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proofErr w:type="gramStart"/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  <w:proofErr w:type="gramEnd"/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целях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906"/>
        <w:gridCol w:w="1305"/>
        <w:gridCol w:w="3568"/>
        <w:gridCol w:w="2232"/>
      </w:tblGrid>
      <w:tr w:rsidR="00271465" w:rsidRPr="002B16E5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531BD9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531BD9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531BD9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531BD9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531B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</w:t>
      </w:r>
      <w:proofErr w:type="gramEnd"/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подтверждает, что получил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вышеуказанные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передаются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исключительно для использования в рамках исполнения Договора без права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Настоящий Акт составлен в 2-х </w:t>
      </w: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экземплярах</w:t>
      </w:r>
      <w:proofErr w:type="gram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proofErr w:type="gramStart"/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B16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B16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 202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г.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2B16E5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2B16E5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по договору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от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</w:t>
      </w:r>
      <w:proofErr w:type="gram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435002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 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/</w:t>
      </w:r>
      <w:r w:rsidR="002B16E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</w:t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Д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6B5B3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___  202 г.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30"/>
        <w:gridCol w:w="2919"/>
        <w:gridCol w:w="1741"/>
        <w:gridCol w:w="2008"/>
        <w:gridCol w:w="2273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A5CE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FA5CEE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890"/>
        <w:gridCol w:w="1712"/>
        <w:gridCol w:w="1978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A5CE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FA5CEE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620"/>
        <w:gridCol w:w="1451"/>
        <w:gridCol w:w="1317"/>
        <w:gridCol w:w="2623"/>
      </w:tblGrid>
      <w:tr w:rsidR="00271465" w:rsidRPr="002B16E5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п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FA5CEE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FA5CEE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FA5CEE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FA5C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</w:t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 xml:space="preserve">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proofErr w:type="gramEnd"/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</w:t>
      </w:r>
      <w:proofErr w:type="gram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B16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bookmarkStart w:id="27" w:name="_GoBack"/>
            <w:bookmarkEnd w:id="27"/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2B16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1A" w:rsidRDefault="00F1291A" w:rsidP="000B6615">
      <w:r>
        <w:separator/>
      </w:r>
    </w:p>
  </w:endnote>
  <w:endnote w:type="continuationSeparator" w:id="0">
    <w:p w:rsidR="00F1291A" w:rsidRDefault="00F1291A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Pr="00D94B22" w:rsidRDefault="00B91525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Pr="00D94B22" w:rsidRDefault="00B91525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Pr="00D94B22" w:rsidRDefault="00B91525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1A" w:rsidRDefault="00F1291A" w:rsidP="000B6615">
      <w:r>
        <w:separator/>
      </w:r>
    </w:p>
  </w:footnote>
  <w:footnote w:type="continuationSeparator" w:id="0">
    <w:p w:rsidR="00F1291A" w:rsidRDefault="00F1291A" w:rsidP="000B6615">
      <w:r>
        <w:continuationSeparator/>
      </w:r>
    </w:p>
  </w:footnote>
  <w:footnote w:id="1">
    <w:p w:rsidR="00B91525" w:rsidRDefault="00B91525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Default="00B9152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Default="00F1291A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25" w:rsidRDefault="00B9152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VbkgHoFQspXSJbU6ALPucRDCV5hUCdaOlF+LrNs5e7iAorTDwkTX1rLKfiVQwqgB1IyKGMLu5rSmymXixQ129g==" w:salt="hVmz7UvYYDZ/peH0IcQ0MQ==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40F0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B16E5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5785B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74A98"/>
    <w:rsid w:val="00484663"/>
    <w:rsid w:val="0048647A"/>
    <w:rsid w:val="00492428"/>
    <w:rsid w:val="00493D4E"/>
    <w:rsid w:val="004A2D7B"/>
    <w:rsid w:val="004A55CA"/>
    <w:rsid w:val="004B4876"/>
    <w:rsid w:val="004C0375"/>
    <w:rsid w:val="004C340C"/>
    <w:rsid w:val="004D5D25"/>
    <w:rsid w:val="004D66DD"/>
    <w:rsid w:val="004F62B5"/>
    <w:rsid w:val="004F64EB"/>
    <w:rsid w:val="00507571"/>
    <w:rsid w:val="00522EBA"/>
    <w:rsid w:val="00524C6D"/>
    <w:rsid w:val="00531BD9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97B7E"/>
    <w:rsid w:val="006A56B7"/>
    <w:rsid w:val="006B2EA7"/>
    <w:rsid w:val="006B3F0D"/>
    <w:rsid w:val="006B5B3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36CE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344E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D69F3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1525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57E1C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4B22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1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5CEE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CAB4D-300F-4B36-89FD-37162EEC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29</Pages>
  <Words>10860</Words>
  <Characters>61903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Старкина Елена Владимировна</cp:lastModifiedBy>
  <cp:revision>7</cp:revision>
  <dcterms:created xsi:type="dcterms:W3CDTF">2025-04-08T12:25:00Z</dcterms:created>
  <dcterms:modified xsi:type="dcterms:W3CDTF">2025-05-29T12:25:00Z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PqschaonC1ZX00002X166W</vt:lpwstr>
  </property>
</Properties>
</file>