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r w:rsidR="003C2BF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№3"/>
            </w:textInput>
          </w:ffData>
        </w:fldChar>
      </w:r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bookmarkStart w:id="0" w:name="_GoBack"/>
      <w:r w:rsidR="003C2BF4">
        <w:rPr>
          <w:noProof/>
          <w:szCs w:val="24"/>
        </w:rPr>
        <w:t>№3</w:t>
      </w:r>
      <w:bookmarkEnd w:id="0"/>
      <w:r w:rsidR="003C2BF4">
        <w:rPr>
          <w:szCs w:val="24"/>
        </w:rPr>
        <w:fldChar w:fldCharType="end"/>
      </w:r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3C2BF4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№5"/>
            </w:textInput>
          </w:ffData>
        </w:fldChar>
      </w:r>
      <w:bookmarkStart w:id="1" w:name="ТекстовоеПоле9"/>
      <w:r w:rsidR="003C2BF4">
        <w:rPr>
          <w:szCs w:val="24"/>
        </w:rPr>
        <w:instrText xml:space="preserve"> FORMTEXT </w:instrText>
      </w:r>
      <w:r w:rsidR="003C2BF4">
        <w:rPr>
          <w:szCs w:val="24"/>
        </w:rPr>
      </w:r>
      <w:r w:rsidR="003C2BF4">
        <w:rPr>
          <w:szCs w:val="24"/>
        </w:rPr>
        <w:fldChar w:fldCharType="separate"/>
      </w:r>
      <w:r w:rsidR="003C2BF4">
        <w:rPr>
          <w:noProof/>
          <w:szCs w:val="24"/>
        </w:rPr>
        <w:t>№5</w:t>
      </w:r>
      <w:r w:rsidR="003C2BF4">
        <w:rPr>
          <w:szCs w:val="24"/>
        </w:rPr>
        <w:fldChar w:fldCharType="end"/>
      </w:r>
      <w:bookmarkEnd w:id="1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>»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  <w:r w:rsidRPr="00801841">
        <w:rPr>
          <w:szCs w:val="24"/>
        </w:rPr>
        <w:t>20</w:t>
      </w:r>
      <w:r w:rsidRPr="00801841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Pr="00801841">
        <w:rPr>
          <w:szCs w:val="24"/>
        </w:rPr>
        <w:instrText xml:space="preserve"> FORMTEXT </w:instrText>
      </w:r>
      <w:r w:rsidRPr="00801841">
        <w:rPr>
          <w:szCs w:val="24"/>
        </w:rPr>
      </w:r>
      <w:r w:rsidRPr="00801841">
        <w:rPr>
          <w:szCs w:val="24"/>
        </w:rPr>
        <w:fldChar w:fldCharType="separate"/>
      </w:r>
      <w:r w:rsidRPr="00801841">
        <w:rPr>
          <w:szCs w:val="24"/>
        </w:rPr>
        <w:t>____</w:t>
      </w:r>
      <w:r w:rsidRPr="00801841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_______</w:t>
      </w:r>
      <w:r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595031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595031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595031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9D6EE4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595031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595031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595031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595031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2" w:name="_Toc182895775"/>
            <w:bookmarkStart w:id="3" w:name="_Toc210634465"/>
            <w:bookmarkStart w:id="4" w:name="_Toc211659331"/>
            <w:bookmarkStart w:id="5" w:name="_Toc211660254"/>
            <w:bookmarkStart w:id="6" w:name="_Toc213835051"/>
            <w:bookmarkStart w:id="7" w:name="_Toc216684597"/>
            <w:bookmarkStart w:id="8" w:name="_Toc217795448"/>
            <w:bookmarkStart w:id="9" w:name="_Toc217970343"/>
            <w:bookmarkStart w:id="10" w:name="_Toc217970622"/>
            <w:bookmarkStart w:id="11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2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595031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5031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595031" w:rsidRPr="009F721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81B24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bookmarkStart w:id="12" w:name="_Toc220493208"/>
        <w:bookmarkStart w:id="13" w:name="_Toc231571084"/>
        <w:bookmarkStart w:id="14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2"/>
            <w:bookmarkEnd w:id="13"/>
            <w:bookmarkEnd w:id="14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4720A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bookmarkStart w:id="15" w:name="_Toc195958399"/>
        <w:bookmarkStart w:id="16" w:name="_Toc195958944"/>
        <w:bookmarkStart w:id="17" w:name="_Toc196805373"/>
        <w:bookmarkStart w:id="18" w:name="_Toc203462390"/>
        <w:bookmarkStart w:id="19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5"/>
            <w:bookmarkEnd w:id="16"/>
            <w:bookmarkEnd w:id="17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8"/>
            <w:bookmarkEnd w:id="19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20" w:name="_Toc112130732"/>
            <w:bookmarkStart w:id="21" w:name="_Toc112130792"/>
            <w:bookmarkStart w:id="22" w:name="_Toc112130865"/>
            <w:bookmarkStart w:id="23" w:name="_Toc112479487"/>
            <w:bookmarkStart w:id="24" w:name="_Toc115255448"/>
            <w:bookmarkStart w:id="25" w:name="_Toc115260099"/>
            <w:bookmarkStart w:id="26" w:name="_Toc115579492"/>
            <w:bookmarkStart w:id="27" w:name="_Toc123042633"/>
            <w:bookmarkStart w:id="28" w:name="_Toc129422758"/>
            <w:bookmarkStart w:id="29" w:name="_Toc196805374"/>
            <w:bookmarkStart w:id="30" w:name="_Toc203462391"/>
            <w:bookmarkStart w:id="31" w:name="_Toc129493257"/>
            <w:bookmarkStart w:id="32" w:name="_Toc129498263"/>
            <w:bookmarkStart w:id="33" w:name="_Toc129498369"/>
            <w:bookmarkStart w:id="34" w:name="_Toc132192387"/>
            <w:bookmarkStart w:id="35" w:name="_Toc132192847"/>
            <w:bookmarkStart w:id="36" w:name="_Toc132193203"/>
            <w:bookmarkStart w:id="37" w:name="_Toc190514378"/>
            <w:bookmarkStart w:id="38" w:name="_Toc195958400"/>
            <w:bookmarkStart w:id="39" w:name="_Toc195958945"/>
            <w:bookmarkStart w:id="40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1" w:name="OLE_LINK13"/>
            <w:bookmarkStart w:id="42" w:name="OLE_LINK14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1"/>
          <w:bookmarkEnd w:id="42"/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C909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 xml:space="preserve">Положение Компании «Предупреждение и ликвидация </w:t>
            </w:r>
            <w:proofErr w:type="spellStart"/>
            <w:r w:rsidRPr="003932C7">
              <w:rPr>
                <w:rFonts w:eastAsia="Times New Roman"/>
                <w:szCs w:val="24"/>
                <w:lang w:eastAsia="ru-RU"/>
              </w:rPr>
              <w:t>газонефтеводопроявлений</w:t>
            </w:r>
            <w:proofErr w:type="spellEnd"/>
            <w:r w:rsidRPr="003932C7">
              <w:rPr>
                <w:rFonts w:eastAsia="Times New Roman"/>
                <w:szCs w:val="24"/>
                <w:lang w:eastAsia="ru-RU"/>
              </w:rPr>
              <w:t xml:space="preserve">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3932C7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1A3C83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A11EC2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595031" w:rsidRPr="001A3C83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D66C96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  <w:tr w:rsidR="00595031" w:rsidRPr="001A3C83" w:rsidTr="00595031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2FB1">
              <w:rPr>
                <w:szCs w:val="24"/>
              </w:rPr>
              <w:instrText xml:space="preserve"> FORMCHECKBOX </w:instrText>
            </w:r>
            <w:r w:rsidR="003B5B9F">
              <w:rPr>
                <w:szCs w:val="24"/>
              </w:rPr>
            </w:r>
            <w:r w:rsidR="003B5B9F">
              <w:rPr>
                <w:szCs w:val="24"/>
              </w:rPr>
              <w:fldChar w:fldCharType="separate"/>
            </w:r>
            <w:r w:rsidRPr="006D2FB1">
              <w:rPr>
                <w:szCs w:val="24"/>
              </w:rPr>
              <w:fldChar w:fldCharType="end"/>
            </w:r>
            <w:r w:rsidRPr="006D2FB1">
              <w:rPr>
                <w:szCs w:val="24"/>
              </w:rPr>
              <w:t> </w:t>
            </w:r>
            <w:r w:rsidRPr="006D2FB1">
              <w:rPr>
                <w:rFonts w:eastAsia="Times New Roman"/>
                <w:szCs w:val="24"/>
                <w:lang w:eastAsia="ru-RU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П3-05 Р-0016</w:t>
            </w:r>
          </w:p>
          <w:p w:rsidR="00595031" w:rsidRPr="006D2FB1" w:rsidRDefault="00595031" w:rsidP="0059503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21.08.2019 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D2FB1">
              <w:rPr>
                <w:rFonts w:eastAsia="Times New Roman"/>
                <w:szCs w:val="24"/>
                <w:lang w:eastAsia="ru-RU"/>
              </w:rPr>
              <w:t>№ 424</w:t>
            </w: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595031" w:rsidRPr="006D2FB1" w:rsidRDefault="00595031" w:rsidP="0059503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РОДАВЦА"/>
                  </w:textInput>
                </w:ffData>
              </w:fldChar>
            </w:r>
            <w:bookmarkStart w:id="43" w:name="ТекстовоеПоле91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ПРОДАВЦА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3C2BF4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ПОКУПАТЕЛЯ"/>
                  </w:textInput>
                </w:ffData>
              </w:fldChar>
            </w:r>
            <w:bookmarkStart w:id="44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ПОКУПАТЕЛЯ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4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bookmarkStart w:id="45" w:name="ТекстовоеПоле93"/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fldChar w:fldCharType="end"/>
            </w:r>
            <w:bookmarkEnd w:id="4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6" w:name="ТекстовоеПоле10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47" w:name="ТекстовоеПоле101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</w:rPr>
              <w:instrText>FORMTEXT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Ф.И.О: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48" w:name="ТекстовоеПоле11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bookmarkStart w:id="49" w:name="ТекстовоеПоле95"/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0" w:name="ТекстовоеПоле109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0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bookmarkStart w:id="51" w:name="ТекстовоеПоле103"/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2" w:name="ТекстовоеПоле11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2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3" w:name="ТекстовоеПоле97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bookmarkStart w:id="54" w:name="ТекстовоеПоле11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4"/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5" w:name="ТекстовоеПоле105"/>
          </w:p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Дата: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55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 xml:space="preserve"> 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________________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</w:p>
        </w:tc>
      </w:tr>
    </w:tbl>
    <w:p w:rsidR="00801841" w:rsidRDefault="00801841" w:rsidP="006372C9"/>
    <w:sectPr w:rsidR="00801841" w:rsidSect="006372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ADE" w:rsidRDefault="00531ADE" w:rsidP="00122417">
      <w:r>
        <w:separator/>
      </w:r>
    </w:p>
  </w:endnote>
  <w:endnote w:type="continuationSeparator" w:id="0">
    <w:p w:rsidR="00531ADE" w:rsidRDefault="00531ADE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Pr="00DA0D6B" w:rsidRDefault="00DA0D6B" w:rsidP="00DA0D6B">
    <w:pPr>
      <w:pStyle w:val="a5"/>
      <w:jc w:val="left"/>
      <w:rPr>
        <w:sz w:val="20"/>
      </w:rPr>
    </w:pPr>
    <w:r w:rsidRPr="00DA0D6B">
      <w:rPr>
        <w:sz w:val="20"/>
      </w:rPr>
      <w:t>41.23/3970.04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9C" w:rsidRPr="00DA0D6B" w:rsidRDefault="00DA0D6B" w:rsidP="00DA0D6B">
    <w:pPr>
      <w:pStyle w:val="a5"/>
      <w:jc w:val="left"/>
      <w:rPr>
        <w:sz w:val="20"/>
      </w:rPr>
    </w:pPr>
    <w:r w:rsidRPr="00DA0D6B">
      <w:rPr>
        <w:noProof/>
        <w:sz w:val="20"/>
        <w:szCs w:val="16"/>
      </w:rPr>
      <w:t>41.23/3970.04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Pr="00DA0D6B" w:rsidRDefault="00DA0D6B" w:rsidP="00DA0D6B">
    <w:pPr>
      <w:pStyle w:val="a5"/>
      <w:jc w:val="left"/>
      <w:rPr>
        <w:sz w:val="20"/>
      </w:rPr>
    </w:pPr>
    <w:r w:rsidRPr="00DA0D6B">
      <w:rPr>
        <w:sz w:val="20"/>
      </w:rPr>
      <w:t>41.23/3970.04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ADE" w:rsidRDefault="00531ADE" w:rsidP="00122417">
      <w:r>
        <w:separator/>
      </w:r>
    </w:p>
  </w:footnote>
  <w:footnote w:type="continuationSeparator" w:id="0">
    <w:p w:rsidR="00531ADE" w:rsidRDefault="00531ADE" w:rsidP="0012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3B5B9F">
    <w:pPr>
      <w:pStyle w:val="a3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B1" w:rsidRDefault="006D2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cumentProtection w:edit="forms" w:enforcement="1" w:cryptProviderType="rsaAES" w:cryptAlgorithmClass="hash" w:cryptAlgorithmType="typeAny" w:cryptAlgorithmSid="14" w:cryptSpinCount="100000" w:hash="D71kYD98qDbRHDdw+Rt1/fLZEsn8pkmm5j0MvAWwBEbs7P00obi3uyDugYZApJ7/hJh7L6VPp8e7mC5QJSo5lg==" w:salt="OIJlZiOiRhU3ubB+JOnvZg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2A4"/>
    <w:rsid w:val="00074C9C"/>
    <w:rsid w:val="000A6C2B"/>
    <w:rsid w:val="000E5E31"/>
    <w:rsid w:val="0011760C"/>
    <w:rsid w:val="00122417"/>
    <w:rsid w:val="00155D13"/>
    <w:rsid w:val="001B6D13"/>
    <w:rsid w:val="001C20FE"/>
    <w:rsid w:val="001C3EB1"/>
    <w:rsid w:val="00245338"/>
    <w:rsid w:val="00257C3F"/>
    <w:rsid w:val="00264576"/>
    <w:rsid w:val="003B5B9F"/>
    <w:rsid w:val="003C2BF4"/>
    <w:rsid w:val="004858B4"/>
    <w:rsid w:val="00531ADE"/>
    <w:rsid w:val="00555BE7"/>
    <w:rsid w:val="00565812"/>
    <w:rsid w:val="00595031"/>
    <w:rsid w:val="005B263D"/>
    <w:rsid w:val="006372C9"/>
    <w:rsid w:val="006D2FB1"/>
    <w:rsid w:val="006F62A4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C9529F"/>
    <w:rsid w:val="00CC15CE"/>
    <w:rsid w:val="00DA0D6B"/>
    <w:rsid w:val="00DC693A"/>
    <w:rsid w:val="00E4278C"/>
    <w:rsid w:val="00E52335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F8D43DE-A46C-443B-86E0-368D6BCD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Ляпустина Ольга Валерьевна</cp:lastModifiedBy>
  <cp:revision>2</cp:revision>
  <dcterms:created xsi:type="dcterms:W3CDTF">2024-12-02T08:47:00Z</dcterms:created>
  <dcterms:modified xsi:type="dcterms:W3CDTF">2024-12-02T08:47:00Z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PqscO4onC1ZX00002X166W</vt:lpwstr>
  </property>
</Properties>
</file>