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2B2AFE">
              <w:rPr>
                <w:sz w:val="18"/>
                <w:szCs w:val="18"/>
              </w:rPr>
              <w:t>1</w:t>
            </w:r>
            <w:r w:rsidR="00E017E3">
              <w:rPr>
                <w:sz w:val="18"/>
                <w:szCs w:val="18"/>
              </w:rPr>
              <w:t>3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E017E3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E017E3">
              <w:rPr>
                <w:color w:val="000000"/>
                <w:sz w:val="20"/>
                <w:szCs w:val="20"/>
              </w:rPr>
              <w:t xml:space="preserve">Комплектующие к ЭВМ и </w:t>
            </w:r>
            <w:proofErr w:type="spellStart"/>
            <w:r w:rsidRPr="00E017E3">
              <w:rPr>
                <w:color w:val="000000"/>
                <w:sz w:val="20"/>
                <w:szCs w:val="20"/>
              </w:rPr>
              <w:t>периф</w:t>
            </w:r>
            <w:proofErr w:type="spellEnd"/>
            <w:r w:rsidRPr="00E017E3">
              <w:rPr>
                <w:color w:val="000000"/>
                <w:sz w:val="20"/>
                <w:szCs w:val="20"/>
              </w:rPr>
              <w:t>. устройства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84049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84049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84049B" w:rsidRDefault="0084049B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84049B" w:rsidRDefault="0084049B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84049B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84049B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84049B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84049B">
                    <w:rPr>
                      <w:sz w:val="18"/>
                      <w:szCs w:val="18"/>
                    </w:rPr>
                    <w:t xml:space="preserve">: : </w:t>
                  </w:r>
                  <w:r w:rsidR="0084049B" w:rsidRPr="0084049B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84049B" w:rsidRPr="0084049B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84049B" w:rsidRPr="0084049B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84049B" w:rsidRPr="0084049B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84049B" w:rsidRPr="0084049B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84049B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84049B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D847E0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D847E0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84049B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84049B" w:rsidRDefault="00D847E0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84049B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84049B" w:rsidRDefault="00B94DC9" w:rsidP="0042178E">
                  <w:pPr>
                    <w:ind w:firstLine="0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847E0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D847E0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D847E0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E017E3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E017E3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E017E3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017E3">
              <w:rPr>
                <w:color w:val="000000"/>
                <w:sz w:val="16"/>
                <w:szCs w:val="16"/>
              </w:rPr>
              <w:t>Комплектующие к ЭВМ и периф. устройства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>Приложение: Сведения о лоте в формате excel.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6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49B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7E0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7E3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21"/>
    <o:shapelayout v:ext="edit">
      <o:idmap v:ext="edit" data="1"/>
    </o:shapelayout>
  </w:shapeDefaults>
  <w:decimalSymbol w:val=","/>
  <w:listSeparator w:val=";"/>
  <w14:docId w14:val="729EC13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90C21D-C000-4E13-9727-C0C0FC96BC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ACB1D3-998F-4598-982A-9161428F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2080</Words>
  <Characters>17378</Characters>
  <Application>Microsoft Office Word</Application>
  <DocSecurity>0</DocSecurity>
  <Lines>144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16</cp:revision>
  <cp:lastPrinted>2020-10-23T14:42:00Z</cp:lastPrinted>
  <dcterms:created xsi:type="dcterms:W3CDTF">2023-05-15T05:32:00Z</dcterms:created>
  <dcterms:modified xsi:type="dcterms:W3CDTF">2025-08-13T10:31:00Z</dcterms:modified>
</cp:coreProperties>
</file>