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E9" w:rsidRDefault="005F6DE9" w:rsidP="005F6DE9">
      <w:pPr>
        <w:rPr>
          <w:b/>
        </w:rPr>
      </w:pPr>
      <w:r>
        <w:rPr>
          <w:bCs/>
        </w:rPr>
        <w:t xml:space="preserve">ООО «РН-Пурнефтегаз» приглашает Вас делать оферты по лоту № </w:t>
      </w:r>
      <w:r>
        <w:t xml:space="preserve">2025.30- </w:t>
      </w:r>
      <w:r>
        <w:rPr>
          <w:b/>
        </w:rPr>
        <w:t xml:space="preserve">реализация гусеничного </w:t>
      </w:r>
      <w:proofErr w:type="spellStart"/>
      <w:r>
        <w:rPr>
          <w:b/>
        </w:rPr>
        <w:t>снегоболотохода</w:t>
      </w:r>
      <w:proofErr w:type="spellEnd"/>
      <w:r>
        <w:rPr>
          <w:b/>
        </w:rPr>
        <w:t xml:space="preserve"> ТТМ 3902 ТП-01</w:t>
      </w:r>
    </w:p>
    <w:p w:rsidR="005F6DE9" w:rsidRDefault="005F6DE9" w:rsidP="005F6DE9">
      <w:pPr>
        <w:pStyle w:val="21"/>
        <w:ind w:firstLine="0"/>
        <w:jc w:val="left"/>
        <w:rPr>
          <w:bCs/>
          <w:sz w:val="24"/>
        </w:rPr>
      </w:pPr>
    </w:p>
    <w:p w:rsidR="005F6DE9" w:rsidRDefault="005F6DE9" w:rsidP="005F6DE9">
      <w:pPr>
        <w:jc w:val="both"/>
        <w:rPr>
          <w:rStyle w:val="ab"/>
          <w:rFonts w:eastAsiaTheme="majorEastAsia"/>
          <w:b w:val="0"/>
        </w:rPr>
      </w:pPr>
      <w:r>
        <w:rPr>
          <w:noProof/>
        </w:rPr>
        <w:t xml:space="preserve">Срок подачи документов </w:t>
      </w:r>
      <w:r>
        <w:rPr>
          <w:b/>
        </w:rPr>
        <w:t>с 26.09.2025 по 16.10</w:t>
      </w:r>
      <w:r>
        <w:rPr>
          <w:b/>
          <w:bCs/>
        </w:rPr>
        <w:t xml:space="preserve">.2025 </w:t>
      </w:r>
      <w:r>
        <w:rPr>
          <w:rStyle w:val="ab"/>
          <w:rFonts w:eastAsiaTheme="majorEastAsia"/>
        </w:rPr>
        <w:t>до 14:00 (время Московское).</w:t>
      </w:r>
    </w:p>
    <w:p w:rsidR="005F6DE9" w:rsidRDefault="005F6DE9" w:rsidP="005F6DE9">
      <w:pPr>
        <w:rPr>
          <w:rFonts w:eastAsiaTheme="majorEastAsia"/>
          <w:bCs/>
        </w:rPr>
      </w:pPr>
    </w:p>
    <w:p w:rsidR="007404F9" w:rsidRPr="00BE3B8C" w:rsidRDefault="007404F9" w:rsidP="007404F9">
      <w:pPr>
        <w:rPr>
          <w:bCs/>
        </w:rPr>
      </w:pPr>
    </w:p>
    <w:p w:rsidR="007404F9" w:rsidRPr="001C4D0C" w:rsidRDefault="007404F9" w:rsidP="007404F9">
      <w:pPr>
        <w:rPr>
          <w:b/>
        </w:rPr>
      </w:pPr>
      <w:r w:rsidRPr="001C4D0C">
        <w:rPr>
          <w:b/>
        </w:rPr>
        <w:t xml:space="preserve">Тип сделки: </w:t>
      </w:r>
      <w:r>
        <w:rPr>
          <w:b/>
        </w:rPr>
        <w:t>реализация гусеничного</w:t>
      </w:r>
      <w:r w:rsidRPr="002E09F9">
        <w:rPr>
          <w:b/>
        </w:rPr>
        <w:t xml:space="preserve"> </w:t>
      </w:r>
      <w:proofErr w:type="spellStart"/>
      <w:r w:rsidRPr="002E09F9">
        <w:rPr>
          <w:b/>
        </w:rPr>
        <w:t>снегоболотоход</w:t>
      </w:r>
      <w:r>
        <w:rPr>
          <w:b/>
        </w:rPr>
        <w:t>а</w:t>
      </w:r>
      <w:proofErr w:type="spellEnd"/>
      <w:r w:rsidRPr="002E09F9">
        <w:rPr>
          <w:b/>
        </w:rPr>
        <w:t xml:space="preserve"> ТТМ 3902 ТП-01</w:t>
      </w:r>
    </w:p>
    <w:p w:rsidR="007404F9" w:rsidRPr="00BE3B8C" w:rsidRDefault="007404F9" w:rsidP="007404F9">
      <w:pPr>
        <w:rPr>
          <w:b/>
        </w:rPr>
      </w:pPr>
    </w:p>
    <w:p w:rsidR="007404F9" w:rsidRPr="00BE3B8C" w:rsidRDefault="007404F9" w:rsidP="007404F9">
      <w:pPr>
        <w:outlineLvl w:val="0"/>
        <w:rPr>
          <w:b/>
        </w:rPr>
      </w:pPr>
      <w:r w:rsidRPr="00BE3B8C">
        <w:rPr>
          <w:b/>
        </w:rPr>
        <w:t>Лот прилагается (Коммерческое предложение (Приложение№1))</w:t>
      </w:r>
    </w:p>
    <w:p w:rsidR="007404F9" w:rsidRPr="00BE3B8C" w:rsidRDefault="007404F9" w:rsidP="007404F9">
      <w:pPr>
        <w:jc w:val="both"/>
        <w:rPr>
          <w:b/>
        </w:rPr>
      </w:pPr>
    </w:p>
    <w:p w:rsidR="007404F9" w:rsidRPr="00A518C9" w:rsidRDefault="007404F9" w:rsidP="007404F9">
      <w:pPr>
        <w:pStyle w:val="21"/>
        <w:ind w:firstLine="0"/>
        <w:rPr>
          <w:sz w:val="24"/>
        </w:rPr>
      </w:pPr>
      <w:r w:rsidRPr="00A518C9">
        <w:rPr>
          <w:bCs/>
          <w:sz w:val="24"/>
        </w:rPr>
        <w:t xml:space="preserve">ООО «РН-Пурнефтегаз» </w:t>
      </w:r>
      <w:r w:rsidRPr="00A518C9">
        <w:rPr>
          <w:sz w:val="24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A518C9" w:rsidRDefault="007404F9" w:rsidP="007404F9">
      <w:pPr>
        <w:jc w:val="both"/>
      </w:pPr>
      <w:r w:rsidRPr="00A518C9"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A518C9">
        <w:rPr>
          <w:bCs/>
        </w:rPr>
        <w:t xml:space="preserve">ООО «РН-Пурнефтегаз» </w:t>
      </w:r>
      <w:r w:rsidRPr="00A518C9">
        <w:t xml:space="preserve">не несет какой-либо </w:t>
      </w:r>
      <w:r w:rsidRPr="00D22A70">
        <w:t>ответственности за отказ заключить договор с лицами, обратившимися с предложением заключить</w:t>
      </w:r>
      <w:r w:rsidRPr="00A518C9">
        <w:t xml:space="preserve"> сделку.</w:t>
      </w:r>
    </w:p>
    <w:p w:rsidR="007404F9" w:rsidRPr="00A518C9" w:rsidRDefault="007404F9" w:rsidP="007404F9">
      <w:pPr>
        <w:jc w:val="both"/>
      </w:pPr>
      <w:r w:rsidRPr="00A518C9">
        <w:t xml:space="preserve">Факт предоставления в адрес </w:t>
      </w:r>
      <w:r w:rsidRPr="00A518C9">
        <w:rPr>
          <w:bCs/>
        </w:rPr>
        <w:t xml:space="preserve">ООО «РН-Пурнефтегаз» </w:t>
      </w:r>
      <w:r w:rsidRPr="00A518C9">
        <w:t>оферты, в порядке, определенном настоящим предложением</w:t>
      </w:r>
      <w:r w:rsidRPr="00A518C9">
        <w:rPr>
          <w:b/>
          <w:bCs/>
        </w:rPr>
        <w:t xml:space="preserve"> (Приложение №1)</w:t>
      </w:r>
      <w:r w:rsidRPr="00A518C9"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A518C9" w:rsidRDefault="007404F9" w:rsidP="007404F9">
      <w:pPr>
        <w:pStyle w:val="21"/>
        <w:ind w:firstLine="0"/>
        <w:rPr>
          <w:sz w:val="24"/>
        </w:rPr>
      </w:pPr>
      <w:r w:rsidRPr="00A518C9">
        <w:rPr>
          <w:sz w:val="24"/>
        </w:rPr>
        <w:t xml:space="preserve">Для того чтобы воспользоваться настоящим </w:t>
      </w:r>
      <w:r w:rsidRPr="00A518C9">
        <w:rPr>
          <w:b/>
          <w:bCs/>
          <w:sz w:val="24"/>
        </w:rPr>
        <w:t>предложением</w:t>
      </w:r>
      <w:r w:rsidRPr="00A518C9">
        <w:rPr>
          <w:sz w:val="24"/>
        </w:rPr>
        <w:t>, необходимо сформировать пакет документов:</w:t>
      </w:r>
    </w:p>
    <w:p w:rsidR="007404F9" w:rsidRPr="00BE3B8C" w:rsidRDefault="007404F9" w:rsidP="007404F9">
      <w:pPr>
        <w:jc w:val="both"/>
      </w:pPr>
    </w:p>
    <w:p w:rsidR="00111B3A" w:rsidRPr="00D865EB" w:rsidRDefault="00111B3A" w:rsidP="00111B3A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b/>
          <w:bCs/>
          <w:iCs/>
        </w:rPr>
      </w:pPr>
      <w:r w:rsidRPr="00D865EB">
        <w:rPr>
          <w:b/>
          <w:bCs/>
          <w:iCs/>
        </w:rPr>
        <w:t>Документы, содержащие информацию юридического характера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Тендерная заявка (форма прилагается).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Анкета-заявка по установленной форме (Приложение №2 форма 1).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 w:rsidRPr="00D865EB">
        <w:t>т.ч</w:t>
      </w:r>
      <w:proofErr w:type="spellEnd"/>
      <w:r w:rsidRPr="00D865EB">
        <w:t xml:space="preserve">. </w:t>
      </w:r>
      <w:proofErr w:type="spellStart"/>
      <w:r w:rsidRPr="00D865EB">
        <w:t>самозанятыми</w:t>
      </w:r>
      <w:proofErr w:type="spellEnd"/>
      <w:r w:rsidRPr="00D865EB">
        <w:t>)), по установленной форме (Приложение №2 форма 2).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Форма подтверждения согласия на обработку персональных данных по установленной форме (Приложение №2 формы 3, 4) от:</w:t>
      </w:r>
    </w:p>
    <w:p w:rsidR="00111B3A" w:rsidRPr="00D865EB" w:rsidRDefault="00111B3A" w:rsidP="00111B3A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</w:pPr>
      <w:r w:rsidRPr="00D865EB">
        <w:t>юридического лица (в отношении всех физических лиц, сведения о которых предоставляются);</w:t>
      </w:r>
    </w:p>
    <w:p w:rsidR="00111B3A" w:rsidRPr="00D865EB" w:rsidRDefault="00111B3A" w:rsidP="00111B3A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</w:pPr>
      <w:r w:rsidRPr="00D865EB">
        <w:t>единоличного исполнительного органа (руководителя) потенциального Контрагента;</w:t>
      </w:r>
    </w:p>
    <w:p w:rsidR="00111B3A" w:rsidRPr="00D865EB" w:rsidRDefault="00111B3A" w:rsidP="00111B3A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</w:pPr>
      <w:r w:rsidRPr="00D865EB">
        <w:t>индивидуального предпринимателя – физического лица.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111B3A" w:rsidRPr="00D865EB" w:rsidRDefault="00111B3A" w:rsidP="00111B3A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</w:pPr>
      <w:r w:rsidRPr="00D865EB"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111B3A" w:rsidRPr="00D865EB" w:rsidRDefault="00111B3A" w:rsidP="00111B3A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</w:pPr>
      <w:r w:rsidRPr="00D865EB"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 w:rsidRPr="00D865EB">
          <w:rPr>
            <w:rStyle w:val="af"/>
          </w:rPr>
          <w:t>https:/rmsp.nalog.ru/</w:t>
        </w:r>
      </w:hyperlink>
      <w:r w:rsidRPr="00D865EB">
        <w:t>) полученные не позднее 1 (одного) месяца от даты подачи документов</w:t>
      </w:r>
      <w:r w:rsidRPr="00D865EB">
        <w:rPr>
          <w:vertAlign w:val="superscript"/>
        </w:rPr>
        <w:footnoteReference w:id="1"/>
      </w:r>
      <w:r w:rsidRPr="00D865EB">
        <w:t>.</w:t>
      </w:r>
    </w:p>
    <w:p w:rsidR="00111B3A" w:rsidRPr="00D865EB" w:rsidRDefault="00111B3A" w:rsidP="00111B3A">
      <w:pPr>
        <w:widowControl w:val="0"/>
        <w:tabs>
          <w:tab w:val="left" w:pos="567"/>
        </w:tabs>
        <w:suppressAutoHyphens/>
        <w:jc w:val="both"/>
      </w:pPr>
      <w:r w:rsidRPr="00D865EB">
        <w:tab/>
        <w:t>Или</w:t>
      </w:r>
    </w:p>
    <w:p w:rsidR="00111B3A" w:rsidRPr="00D865EB" w:rsidRDefault="00111B3A" w:rsidP="00111B3A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</w:pPr>
      <w:r w:rsidRPr="00D865EB">
        <w:t xml:space="preserve">в случае отсутствия сведений о потенциальном Контрагенте в «Едином реестре субъектов </w:t>
      </w:r>
      <w:r w:rsidRPr="00D865EB">
        <w:lastRenderedPageBreak/>
        <w:t xml:space="preserve">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 w:rsidRPr="00D865EB">
          <w:rPr>
            <w:rStyle w:val="af"/>
          </w:rPr>
          <w:t>приложения</w:t>
        </w:r>
      </w:hyperlink>
      <w:r w:rsidRPr="00D865EB"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</w:pPr>
      <w:r w:rsidRPr="00D865EB"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</w:pPr>
      <w:r w:rsidRPr="00D865EB"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</w:pPr>
      <w:r w:rsidRPr="00D865EB"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</w:pPr>
      <w:r w:rsidRPr="00D865EB"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111B3A" w:rsidRPr="00D865EB" w:rsidRDefault="00111B3A" w:rsidP="00111B3A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b/>
          <w:bCs/>
          <w:iCs/>
        </w:rPr>
      </w:pPr>
      <w:r w:rsidRPr="00D865EB">
        <w:rPr>
          <w:b/>
          <w:bCs/>
          <w:iCs/>
        </w:rPr>
        <w:t>Документы, содержащие информацию финансово-экономического характера: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Справка из налоговой инспекции об отсутствии задолженностей по уплате налогов и сборов;</w:t>
      </w:r>
    </w:p>
    <w:p w:rsidR="00111B3A" w:rsidRPr="00D865EB" w:rsidRDefault="00111B3A" w:rsidP="00111B3A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</w:pPr>
      <w:r w:rsidRPr="00D865EB"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7404F9" w:rsidRDefault="007404F9" w:rsidP="007404F9">
      <w:pPr>
        <w:jc w:val="both"/>
        <w:rPr>
          <w:b/>
          <w:bCs/>
          <w:color w:val="000000"/>
        </w:rPr>
      </w:pPr>
      <w:r w:rsidRPr="00A518C9">
        <w:rPr>
          <w:b/>
        </w:rPr>
        <w:t>Прием предложений и необходимых для участия в процедуре реализации документов осуществляется на Федеральной электронной пло</w:t>
      </w:r>
      <w:r>
        <w:rPr>
          <w:b/>
        </w:rPr>
        <w:t>щадке ТЭК-Торг</w:t>
      </w:r>
      <w:r w:rsidR="005F6DE9">
        <w:rPr>
          <w:b/>
        </w:rPr>
        <w:t xml:space="preserve"> ПИ 509314</w:t>
      </w:r>
      <w:bookmarkStart w:id="0" w:name="_GoBack"/>
      <w:bookmarkEnd w:id="0"/>
      <w:r w:rsidRPr="00694AAB">
        <w:rPr>
          <w:b/>
          <w:bCs/>
          <w:color w:val="000000"/>
          <w:highlight w:val="yellow"/>
        </w:rPr>
        <w:t>.</w:t>
      </w:r>
    </w:p>
    <w:p w:rsidR="001147E7" w:rsidRDefault="001147E7" w:rsidP="007404F9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jc w:val="both"/>
        <w:rPr>
          <w:b/>
          <w:bCs/>
          <w:color w:val="000000"/>
        </w:rPr>
      </w:pPr>
    </w:p>
    <w:p w:rsidR="001147E7" w:rsidRPr="001147E7" w:rsidRDefault="001147E7" w:rsidP="001147E7">
      <w:pPr>
        <w:numPr>
          <w:ilvl w:val="0"/>
          <w:numId w:val="27"/>
        </w:numPr>
        <w:rPr>
          <w:b/>
        </w:rPr>
      </w:pPr>
      <w:r w:rsidRPr="001147E7"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1147E7">
          <w:rPr>
            <w:b/>
            <w:bCs/>
            <w:color w:val="0000FF"/>
            <w:u w:val="single"/>
          </w:rPr>
          <w:t>https://sale.tektorg.ru</w:t>
        </w:r>
      </w:hyperlink>
      <w:r w:rsidRPr="001147E7">
        <w:rPr>
          <w:b/>
          <w:bCs/>
          <w:u w:val="single"/>
        </w:rPr>
        <w:t xml:space="preserve">.  </w:t>
      </w:r>
      <w:r w:rsidRPr="001147E7">
        <w:rPr>
          <w:b/>
          <w:bCs/>
        </w:rPr>
        <w:t>Заявки, поступившие иным способом к рассмотрению, не принимаются.</w:t>
      </w:r>
    </w:p>
    <w:p w:rsidR="001147E7" w:rsidRPr="00436D5B" w:rsidRDefault="001147E7" w:rsidP="007404F9">
      <w:pPr>
        <w:jc w:val="both"/>
        <w:rPr>
          <w:b/>
          <w:color w:val="000000"/>
        </w:rPr>
      </w:pPr>
    </w:p>
    <w:p w:rsidR="007404F9" w:rsidRPr="00A518C9" w:rsidRDefault="007404F9" w:rsidP="007404F9"/>
    <w:p w:rsidR="007404F9" w:rsidRPr="001C4D0C" w:rsidRDefault="007404F9" w:rsidP="007404F9">
      <w:pPr>
        <w:outlineLvl w:val="0"/>
        <w:rPr>
          <w:bCs/>
        </w:rPr>
      </w:pPr>
      <w:r w:rsidRPr="001C4D0C">
        <w:rPr>
          <w:bCs/>
        </w:rPr>
        <w:t>Телефон для справок:</w:t>
      </w:r>
    </w:p>
    <w:p w:rsidR="000C37DF" w:rsidRPr="000C37DF" w:rsidRDefault="000C37DF" w:rsidP="000C37DF">
      <w:pPr>
        <w:jc w:val="both"/>
      </w:pPr>
      <w:r w:rsidRPr="000C37DF">
        <w:rPr>
          <w:color w:val="000000"/>
        </w:rPr>
        <w:t>Ковалева Наталья Сергеевна, главный специалист</w:t>
      </w:r>
      <w:r w:rsidR="00311619">
        <w:t xml:space="preserve"> сектора по реализации МТР У</w:t>
      </w:r>
      <w:r w:rsidRPr="000C37DF">
        <w:t xml:space="preserve">СМТР  </w:t>
      </w:r>
    </w:p>
    <w:p w:rsidR="000C37DF" w:rsidRPr="000C37DF" w:rsidRDefault="000C37DF" w:rsidP="000C37DF">
      <w:pPr>
        <w:jc w:val="both"/>
      </w:pPr>
      <w:r w:rsidRPr="000C37DF">
        <w:rPr>
          <w:bCs/>
        </w:rPr>
        <w:t xml:space="preserve">телефон: 8 (34936) </w:t>
      </w:r>
      <w:r w:rsidRPr="000C37DF">
        <w:rPr>
          <w:color w:val="000000"/>
        </w:rPr>
        <w:t xml:space="preserve">4-58-34, </w:t>
      </w:r>
      <w:r w:rsidRPr="000C37DF">
        <w:t>NS_Kovaleva3@png.rosneft.ru</w:t>
      </w:r>
    </w:p>
    <w:p w:rsidR="007404F9" w:rsidRPr="001C4D0C" w:rsidRDefault="007404F9" w:rsidP="007404F9"/>
    <w:sectPr w:rsidR="007404F9" w:rsidRPr="001C4D0C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F0" w:rsidRDefault="00ED50F0" w:rsidP="00111B3A">
      <w:r>
        <w:separator/>
      </w:r>
    </w:p>
  </w:endnote>
  <w:endnote w:type="continuationSeparator" w:id="0">
    <w:p w:rsidR="00ED50F0" w:rsidRDefault="00ED50F0" w:rsidP="0011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F0" w:rsidRDefault="00ED50F0" w:rsidP="00111B3A">
      <w:r>
        <w:separator/>
      </w:r>
    </w:p>
  </w:footnote>
  <w:footnote w:type="continuationSeparator" w:id="0">
    <w:p w:rsidR="00ED50F0" w:rsidRDefault="00ED50F0" w:rsidP="00111B3A">
      <w:r>
        <w:continuationSeparator/>
      </w:r>
    </w:p>
  </w:footnote>
  <w:footnote w:id="1">
    <w:p w:rsidR="00111B3A" w:rsidRDefault="00111B3A" w:rsidP="00111B3A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82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89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96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3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10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18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25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3246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C37DF"/>
    <w:rsid w:val="00111B3A"/>
    <w:rsid w:val="001147E7"/>
    <w:rsid w:val="001616CD"/>
    <w:rsid w:val="001710DE"/>
    <w:rsid w:val="0028335B"/>
    <w:rsid w:val="00311619"/>
    <w:rsid w:val="00355D73"/>
    <w:rsid w:val="003764B8"/>
    <w:rsid w:val="003B0467"/>
    <w:rsid w:val="003C5B25"/>
    <w:rsid w:val="0049621F"/>
    <w:rsid w:val="004B6D9E"/>
    <w:rsid w:val="00537B4E"/>
    <w:rsid w:val="005C04B3"/>
    <w:rsid w:val="005F6DE9"/>
    <w:rsid w:val="00631F71"/>
    <w:rsid w:val="0068600C"/>
    <w:rsid w:val="00696FE9"/>
    <w:rsid w:val="006A51B7"/>
    <w:rsid w:val="006B1C51"/>
    <w:rsid w:val="006C5A0C"/>
    <w:rsid w:val="00734A1B"/>
    <w:rsid w:val="007350BA"/>
    <w:rsid w:val="007404F9"/>
    <w:rsid w:val="00754566"/>
    <w:rsid w:val="00765ADB"/>
    <w:rsid w:val="008A7F45"/>
    <w:rsid w:val="008D2B05"/>
    <w:rsid w:val="009463B3"/>
    <w:rsid w:val="009E0D13"/>
    <w:rsid w:val="00A23B8C"/>
    <w:rsid w:val="00B01002"/>
    <w:rsid w:val="00B715F3"/>
    <w:rsid w:val="00B845AC"/>
    <w:rsid w:val="00BA0D25"/>
    <w:rsid w:val="00BB5DD8"/>
    <w:rsid w:val="00BD058F"/>
    <w:rsid w:val="00CB72A9"/>
    <w:rsid w:val="00CE1126"/>
    <w:rsid w:val="00D37D9D"/>
    <w:rsid w:val="00DA1937"/>
    <w:rsid w:val="00DC283A"/>
    <w:rsid w:val="00DF07D3"/>
    <w:rsid w:val="00DF7429"/>
    <w:rsid w:val="00E1705D"/>
    <w:rsid w:val="00E8756E"/>
    <w:rsid w:val="00EC6FF8"/>
    <w:rsid w:val="00ED0D53"/>
    <w:rsid w:val="00ED50F0"/>
    <w:rsid w:val="00F53A97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907A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111B3A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111B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111B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111B3A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111B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887</Words>
  <Characters>5058</Characters>
  <Application>Microsoft Office Word</Application>
  <DocSecurity>0</DocSecurity>
  <Lines>42</Lines>
  <Paragraphs>11</Paragraphs>
  <ScaleCrop>false</ScaleCrop>
  <Company>IT Organization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31</cp:revision>
  <dcterms:created xsi:type="dcterms:W3CDTF">2023-04-20T11:27:00Z</dcterms:created>
  <dcterms:modified xsi:type="dcterms:W3CDTF">2025-09-26T11:56:00Z</dcterms:modified>
</cp:coreProperties>
</file>