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03" w:rsidRDefault="00E77503" w:rsidP="00E775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77503" w:rsidRDefault="00E77503" w:rsidP="00E77503">
      <w:pPr>
        <w:pStyle w:val="21"/>
        <w:ind w:firstLine="0"/>
        <w:jc w:val="left"/>
        <w:rPr>
          <w:b/>
          <w:color w:val="000000"/>
          <w:sz w:val="24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приглашает Вас делать оферты по лоту № </w:t>
      </w:r>
      <w:r>
        <w:rPr>
          <w:b/>
          <w:color w:val="000000"/>
          <w:sz w:val="24"/>
        </w:rPr>
        <w:t>2025.31 Бочка металлическая 200л б/у</w:t>
      </w:r>
    </w:p>
    <w:p w:rsidR="00E77503" w:rsidRDefault="00E77503" w:rsidP="00E77503">
      <w:pPr>
        <w:pStyle w:val="21"/>
        <w:ind w:firstLine="0"/>
        <w:jc w:val="left"/>
        <w:rPr>
          <w:rStyle w:val="ab"/>
          <w:rFonts w:ascii="Arial" w:eastAsiaTheme="majorEastAsia" w:hAnsi="Arial" w:cs="Arial"/>
          <w:bCs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="003B6E75">
        <w:rPr>
          <w:rFonts w:ascii="Arial" w:hAnsi="Arial" w:cs="Arial"/>
          <w:b/>
          <w:sz w:val="22"/>
          <w:szCs w:val="22"/>
        </w:rPr>
        <w:t>с 06.10.2025  по 25.02</w:t>
      </w:r>
      <w:bookmarkStart w:id="0" w:name="_GoBack"/>
      <w:bookmarkEnd w:id="0"/>
      <w:r w:rsidR="009F3EE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Style w:val="ab"/>
          <w:rFonts w:ascii="Arial" w:eastAsiaTheme="majorEastAsia" w:hAnsi="Arial" w:cs="Arial"/>
          <w:sz w:val="22"/>
          <w:szCs w:val="22"/>
        </w:rPr>
        <w:t xml:space="preserve"> до 14:00 (время Московское).</w:t>
      </w:r>
    </w:p>
    <w:p w:rsidR="00E77503" w:rsidRDefault="00E77503" w:rsidP="00E77503">
      <w:pPr>
        <w:rPr>
          <w:rFonts w:eastAsiaTheme="majorEastAsia"/>
          <w:bCs/>
        </w:rPr>
      </w:pPr>
    </w:p>
    <w:p w:rsidR="00E77503" w:rsidRDefault="00E77503" w:rsidP="00E775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E77503" w:rsidRDefault="00E77503" w:rsidP="00E7750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Лот № 2025.31 – Бочка металлическая 200л б/у.</w:t>
      </w:r>
    </w:p>
    <w:p w:rsidR="00E77503" w:rsidRDefault="00E77503" w:rsidP="00E775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E77503" w:rsidRDefault="00E77503" w:rsidP="00E77503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E32FA7" w:rsidRDefault="00E32FA7" w:rsidP="00E32FA7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E32FA7" w:rsidRDefault="00E32FA7" w:rsidP="00E32FA7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Или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E32FA7" w:rsidRDefault="00E32FA7" w:rsidP="00E32FA7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E32FA7" w:rsidRDefault="00E32FA7" w:rsidP="00E32FA7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E32FA7" w:rsidRDefault="00E32FA7" w:rsidP="00E32FA7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="00E77503">
        <w:rPr>
          <w:b/>
          <w:highlight w:val="yellow"/>
        </w:rPr>
        <w:t xml:space="preserve">ПИ </w:t>
      </w:r>
      <w:r w:rsidR="00D611AB">
        <w:rPr>
          <w:b/>
          <w:highlight w:val="yellow"/>
        </w:rPr>
        <w:t>510077</w:t>
      </w:r>
      <w:r>
        <w:rPr>
          <w:b/>
          <w:highlight w:val="yellow"/>
        </w:rPr>
        <w:t xml:space="preserve"> </w:t>
      </w:r>
      <w:r>
        <w:rPr>
          <w:b/>
          <w:bCs/>
          <w:color w:val="000000"/>
          <w:highlight w:val="yellow"/>
        </w:rPr>
        <w:t>.</w:t>
      </w:r>
    </w:p>
    <w:p w:rsidR="00E32FA7" w:rsidRDefault="00E32FA7" w:rsidP="00E32FA7">
      <w:pPr>
        <w:jc w:val="both"/>
        <w:rPr>
          <w:b/>
          <w:bCs/>
          <w:color w:val="000000"/>
        </w:rPr>
      </w:pPr>
    </w:p>
    <w:p w:rsidR="00E32FA7" w:rsidRDefault="00E32FA7" w:rsidP="00E32FA7">
      <w:pPr>
        <w:numPr>
          <w:ilvl w:val="0"/>
          <w:numId w:val="32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f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E32FA7" w:rsidRDefault="00E32FA7" w:rsidP="00E32FA7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E32FA7" w:rsidRDefault="00E32FA7" w:rsidP="00E32FA7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E32FA7" w:rsidRDefault="00E32FA7" w:rsidP="00E32FA7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E32FA7" w:rsidRDefault="00E32FA7" w:rsidP="00E32FA7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E32FA7" w:rsidRDefault="00E32FA7" w:rsidP="00E32FA7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E32FA7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5C" w:rsidRDefault="000D685C" w:rsidP="00F714C0">
      <w:r>
        <w:separator/>
      </w:r>
    </w:p>
  </w:endnote>
  <w:endnote w:type="continuationSeparator" w:id="0">
    <w:p w:rsidR="000D685C" w:rsidRDefault="000D685C" w:rsidP="00F7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5C" w:rsidRDefault="000D685C" w:rsidP="00F714C0">
      <w:r>
        <w:separator/>
      </w:r>
    </w:p>
  </w:footnote>
  <w:footnote w:type="continuationSeparator" w:id="0">
    <w:p w:rsidR="000D685C" w:rsidRDefault="000D685C" w:rsidP="00F714C0">
      <w:r>
        <w:continuationSeparator/>
      </w:r>
    </w:p>
  </w:footnote>
  <w:footnote w:id="1">
    <w:p w:rsidR="00E32FA7" w:rsidRDefault="00E32FA7" w:rsidP="00E32FA7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175A3"/>
    <w:rsid w:val="000209E1"/>
    <w:rsid w:val="000C37DF"/>
    <w:rsid w:val="000D685C"/>
    <w:rsid w:val="000E0C70"/>
    <w:rsid w:val="001616CD"/>
    <w:rsid w:val="001710DE"/>
    <w:rsid w:val="001B5DC1"/>
    <w:rsid w:val="001C03F4"/>
    <w:rsid w:val="00282F5E"/>
    <w:rsid w:val="002B6F77"/>
    <w:rsid w:val="0035383A"/>
    <w:rsid w:val="00355D73"/>
    <w:rsid w:val="003764B8"/>
    <w:rsid w:val="003A0643"/>
    <w:rsid w:val="003B0467"/>
    <w:rsid w:val="003B6E75"/>
    <w:rsid w:val="003F4A29"/>
    <w:rsid w:val="0049621F"/>
    <w:rsid w:val="004B6D9E"/>
    <w:rsid w:val="00537B4E"/>
    <w:rsid w:val="0055046E"/>
    <w:rsid w:val="005E05B5"/>
    <w:rsid w:val="005E1C6D"/>
    <w:rsid w:val="00631F71"/>
    <w:rsid w:val="0068600C"/>
    <w:rsid w:val="00691099"/>
    <w:rsid w:val="00696FE9"/>
    <w:rsid w:val="006A3CB8"/>
    <w:rsid w:val="006A51B7"/>
    <w:rsid w:val="006D798B"/>
    <w:rsid w:val="00725E3A"/>
    <w:rsid w:val="00734A1B"/>
    <w:rsid w:val="007350BA"/>
    <w:rsid w:val="007404F9"/>
    <w:rsid w:val="00754566"/>
    <w:rsid w:val="00765ADB"/>
    <w:rsid w:val="00854ECF"/>
    <w:rsid w:val="008A7F45"/>
    <w:rsid w:val="008D2B05"/>
    <w:rsid w:val="008F4FE2"/>
    <w:rsid w:val="00902A65"/>
    <w:rsid w:val="009574E0"/>
    <w:rsid w:val="009E0D13"/>
    <w:rsid w:val="009E4FD1"/>
    <w:rsid w:val="009F3EE8"/>
    <w:rsid w:val="00A23B8C"/>
    <w:rsid w:val="00AA041F"/>
    <w:rsid w:val="00B01002"/>
    <w:rsid w:val="00B23C15"/>
    <w:rsid w:val="00B453EB"/>
    <w:rsid w:val="00B715F3"/>
    <w:rsid w:val="00B74749"/>
    <w:rsid w:val="00B845AC"/>
    <w:rsid w:val="00BB5DD8"/>
    <w:rsid w:val="00BD058F"/>
    <w:rsid w:val="00C027EB"/>
    <w:rsid w:val="00C26C64"/>
    <w:rsid w:val="00C5110F"/>
    <w:rsid w:val="00CE1126"/>
    <w:rsid w:val="00D611AB"/>
    <w:rsid w:val="00D67082"/>
    <w:rsid w:val="00D96A7B"/>
    <w:rsid w:val="00DA1937"/>
    <w:rsid w:val="00DA1BAD"/>
    <w:rsid w:val="00DA60F3"/>
    <w:rsid w:val="00DC0F81"/>
    <w:rsid w:val="00DC283A"/>
    <w:rsid w:val="00E1705D"/>
    <w:rsid w:val="00E32909"/>
    <w:rsid w:val="00E32FA7"/>
    <w:rsid w:val="00E77503"/>
    <w:rsid w:val="00E84F88"/>
    <w:rsid w:val="00E8756E"/>
    <w:rsid w:val="00ED0D53"/>
    <w:rsid w:val="00F277B3"/>
    <w:rsid w:val="00F45943"/>
    <w:rsid w:val="00F53A97"/>
    <w:rsid w:val="00F57858"/>
    <w:rsid w:val="00F6149B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9DDC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F714C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F71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F71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F714C0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F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52</cp:revision>
  <dcterms:created xsi:type="dcterms:W3CDTF">2023-04-20T11:27:00Z</dcterms:created>
  <dcterms:modified xsi:type="dcterms:W3CDTF">2026-01-21T09:38:00Z</dcterms:modified>
</cp:coreProperties>
</file>