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B609B1">
        <w:rPr>
          <w:b/>
          <w:bCs/>
        </w:rPr>
        <w:t>129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609B1" w:rsidRPr="00B609B1">
        <w:t>Пневмопривод Rotork GTA190DA00W0ET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54541">
        <w:rPr>
          <w:bCs/>
        </w:rPr>
        <w:t>1</w:t>
      </w:r>
      <w:r w:rsidR="00A6799D">
        <w:rPr>
          <w:bCs/>
        </w:rPr>
        <w:t>29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>оставля</w:t>
      </w:r>
      <w:bookmarkStart w:id="0" w:name="_GoBack"/>
      <w:bookmarkEnd w:id="0"/>
      <w:r w:rsidR="004C0952" w:rsidRPr="00B94EEE">
        <w:rPr>
          <w:sz w:val="24"/>
        </w:rPr>
        <w:t xml:space="preserve">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9D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09B1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9FDA-4C41-48E1-8F0F-AF8B3196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360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83</cp:revision>
  <cp:lastPrinted>2020-06-23T01:48:00Z</cp:lastPrinted>
  <dcterms:created xsi:type="dcterms:W3CDTF">2022-01-19T11:55:00Z</dcterms:created>
  <dcterms:modified xsi:type="dcterms:W3CDTF">2026-01-23T15:13:00Z</dcterms:modified>
</cp:coreProperties>
</file>